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964"/>
        <w:jc w:val="left"/>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rPr>
        <w:t xml:space="preserve">扬州市数据局信息系统2026年统一运维项目</w:t>
      </w:r>
      <w:r/>
    </w:p>
    <w:p>
      <w:pPr>
        <w:ind w:firstLine="964"/>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JSZC-321000-JZCG-G2026-0067</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u w:val="single"/>
        </w:rPr>
        <w:t xml:space="preserve">    </w:t>
      </w:r>
      <w:r>
        <w:rPr>
          <w:rFonts w:hint="eastAsia" w:ascii="宋体" w:hAnsi="宋体" w:cs="宋体"/>
          <w:b/>
          <w:color w:val="000000"/>
          <w:sz w:val="32"/>
          <w:u w:val="single"/>
        </w:rPr>
        <w:t xml:space="preserve">2026</w:t>
      </w:r>
      <w:r>
        <w:rPr>
          <w:rFonts w:ascii="宋体" w:hAnsi="宋体" w:cs="宋体"/>
          <w:b/>
          <w:color w:val="000000"/>
          <w:sz w:val="32"/>
          <w:u w:val="single"/>
        </w:rPr>
        <w:t xml:space="preserve">   </w:t>
      </w:r>
      <w:r>
        <w:rPr>
          <w:rFonts w:ascii="宋体" w:hAnsi="宋体" w:cs="宋体"/>
          <w:b/>
          <w:color w:val="000000"/>
          <w:sz w:val="32"/>
        </w:rPr>
        <w:t xml:space="preserve">年</w:t>
      </w:r>
      <w:r>
        <w:rPr>
          <w:rFonts w:ascii="宋体" w:hAnsi="宋体" w:cs="宋体"/>
          <w:b/>
          <w:color w:val="000000"/>
          <w:sz w:val="32"/>
          <w:u w:val="single"/>
        </w:rPr>
        <w:t xml:space="preserve">   </w:t>
      </w:r>
      <w:r>
        <w:rPr>
          <w:rFonts w:hint="eastAsia" w:ascii="宋体" w:hAnsi="宋体" w:cs="宋体"/>
          <w:b/>
          <w:color w:val="000000"/>
          <w:sz w:val="32"/>
          <w:u w:val="single"/>
        </w:rPr>
        <w:t xml:space="preserve">7</w:t>
      </w:r>
      <w:r>
        <w:rPr>
          <w:rFonts w:ascii="宋体" w:hAnsi="宋体" w:cs="宋体"/>
          <w:b/>
          <w:color w:val="000000"/>
          <w:sz w:val="32"/>
          <w:u w:val="single"/>
        </w:rPr>
        <w:t xml:space="preserve">   </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2"/>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2"/>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2"/>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2"/>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2"/>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40</w:t>
      </w:r>
      <w:r/>
    </w:p>
    <w:p>
      <w:pPr>
        <w:numPr>
          <w:ilvl w:val="0"/>
          <w:numId w:val="2"/>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44</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24"/>
        <w:rPr>
          <w:rFonts w:hint="eastAsia"/>
        </w:rPr>
      </w:pPr>
      <w:r>
        <w:rPr>
          <w:rStyle w:val="725"/>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扬州市数据局本级</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扬州市数据局信息系统2026年统一运维项目</w:t>
      </w:r>
      <w:r>
        <w:rPr>
          <w:rFonts w:ascii="宋体" w:hAnsi="宋体" w:cs="宋体"/>
          <w:color w:val="000000"/>
          <w:sz w:val="24"/>
        </w:rPr>
        <w:t xml:space="preserve">](</w:t>
      </w:r>
      <w:r>
        <w:rPr>
          <w:rFonts w:hint="eastAsia" w:ascii="宋体" w:hAnsi="宋体" w:cs="宋体"/>
          <w:color w:val="000000"/>
          <w:sz w:val="24"/>
        </w:rPr>
        <w:t xml:space="preserve">JSZC-321000-JZCG-G2026-0067</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扬州市数据局信息系统2026年统一运维项目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ascii="宋体" w:hAnsi="宋体" w:cs="宋体"/>
          <w:color w:val="ff0000"/>
          <w:sz w:val="24"/>
          <w:u w:val="single"/>
        </w:rPr>
        <w:t xml:space="preserve">  </w:t>
      </w:r>
      <w:r>
        <w:rPr>
          <w:rFonts w:hint="eastAsia" w:ascii="宋体" w:hAnsi="宋体" w:cs="宋体"/>
          <w:color w:val="ff0000"/>
          <w:sz w:val="24"/>
          <w:u w:val="single"/>
        </w:rPr>
        <w:t xml:space="preserve">2026</w:t>
      </w:r>
      <w:r>
        <w:rPr>
          <w:rFonts w:ascii="宋体" w:hAnsi="宋体" w:cs="宋体"/>
          <w:color w:val="ff0000"/>
          <w:sz w:val="24"/>
          <w:u w:val="single"/>
        </w:rPr>
        <w:t xml:space="preserve"> 年  </w:t>
      </w:r>
      <w:r>
        <w:rPr>
          <w:rFonts w:hint="eastAsia" w:ascii="宋体" w:hAnsi="宋体" w:cs="宋体"/>
          <w:color w:val="ff0000"/>
          <w:sz w:val="24"/>
          <w:u w:val="single"/>
          <w:lang w:val="en-US" w:eastAsia="zh-CN"/>
        </w:rPr>
        <w:t xml:space="preserve">7</w:t>
      </w:r>
      <w:r>
        <w:rPr>
          <w:rFonts w:ascii="宋体" w:hAnsi="宋体" w:cs="宋体"/>
          <w:color w:val="ff0000"/>
          <w:sz w:val="24"/>
          <w:u w:val="single"/>
        </w:rPr>
        <w:t xml:space="preserve">  月  </w:t>
      </w:r>
      <w:r>
        <w:rPr>
          <w:rFonts w:hint="eastAsia" w:ascii="宋体" w:hAnsi="宋体" w:cs="宋体"/>
          <w:color w:val="ff0000"/>
          <w:sz w:val="24"/>
          <w:u w:val="single"/>
          <w:lang w:val="en-US" w:eastAsia="zh-CN"/>
        </w:rPr>
        <w:t xml:space="preserve">30</w:t>
      </w:r>
      <w:r>
        <w:rPr>
          <w:rFonts w:ascii="宋体" w:hAnsi="宋体" w:cs="宋体"/>
          <w:color w:val="ff0000"/>
          <w:sz w:val="24"/>
          <w:u w:val="single"/>
        </w:rPr>
        <w:t xml:space="preserve">  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扬州市数据局信息系统2026年统一运维项目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JSZC-321000-JZCG-G2026-0067</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2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5751"/>
        <w:gridCol w:w="2637"/>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1"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7"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（人民币：万元）</w:t>
            </w:r>
            <w:r/>
          </w:p>
        </w:tc>
      </w:tr>
      <w:tr>
        <w:trPr>
          <w:jc w:val="center"/>
        </w:trPr>
        <w:tc>
          <w:tcPr>
            <w:tcBorders>
              <w:top w:val="none" w:color="000000" w:sz="4" w:space="0"/>
              <w:left w:val="single" w:color="000000" w:sz="8" w:space="0"/>
              <w:right w:val="single" w:color="000000" w:sz="8" w:space="0"/>
            </w:tcBorders>
            <w:tcMar>
              <w:left w:w="108" w:type="dxa"/>
              <w:top w:w="0" w:type="dxa"/>
              <w:right w:w="108" w:type="dxa"/>
              <w:bottom w:w="0" w:type="dxa"/>
            </w:tcMar>
            <w:tcW w:w="779" w:type="dxa"/>
            <w:vAlign w:val="center"/>
            <w:vMerge w:val="restart"/>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1"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t xml:space="preserve">扬州市党政工作平台运维服务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sz w:val="24"/>
                <w:szCs w:val="24"/>
              </w:rPr>
              <w:t xml:space="preserve">39.7</w:t>
            </w:r>
            <w:r/>
          </w:p>
        </w:tc>
      </w:tr>
      <w:tr>
        <w:trPr>
          <w:jc w:val="center"/>
        </w:trPr>
        <w:tc>
          <w:tcPr>
            <w:tcBorders>
              <w:left w:val="single" w:color="000000" w:sz="8" w:space="0"/>
              <w:right w:val="single" w:color="000000" w:sz="8" w:space="0"/>
            </w:tcBorders>
            <w:tcMar>
              <w:left w:w="108" w:type="dxa"/>
              <w:top w:w="0" w:type="dxa"/>
              <w:right w:w="108" w:type="dxa"/>
              <w:bottom w:w="0" w:type="dxa"/>
            </w:tcMar>
            <w:tcW w:w="779" w:type="dxa"/>
            <w:vAlign w:val="center"/>
            <w:vMerge w:val="continue"/>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1"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扬州市房建市政交易7.0系统运维服务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sz w:val="24"/>
                <w:szCs w:val="24"/>
              </w:rPr>
              <w:t xml:space="preserve">52.95</w:t>
            </w:r>
            <w:r/>
          </w:p>
        </w:tc>
      </w:tr>
      <w:tr>
        <w:trPr>
          <w:jc w:val="center"/>
        </w:trPr>
        <w:tc>
          <w:tcPr>
            <w:tcBorders>
              <w:left w:val="single" w:color="000000" w:sz="8" w:space="0"/>
              <w:right w:val="single" w:color="000000" w:sz="8" w:space="0"/>
            </w:tcBorders>
            <w:tcMar>
              <w:left w:w="108" w:type="dxa"/>
              <w:top w:w="0" w:type="dxa"/>
              <w:right w:w="108" w:type="dxa"/>
              <w:bottom w:w="0" w:type="dxa"/>
            </w:tcMar>
            <w:tcW w:w="779" w:type="dxa"/>
            <w:vAlign w:val="center"/>
            <w:vMerge w:val="continue"/>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751"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一体化政务服务平台电子印章系统运维服务</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sz w:val="24"/>
                <w:szCs w:val="24"/>
              </w:rPr>
              <w:t xml:space="preserve">28.09</w:t>
            </w:r>
            <w:r/>
          </w:p>
        </w:tc>
      </w:tr>
      <w:tr>
        <w:trPr>
          <w:jc w:val="center"/>
        </w:trPr>
        <w:tc>
          <w:tcPr>
            <w:tcBorders>
              <w:left w:val="single" w:color="000000" w:sz="8" w:space="0"/>
              <w:right w:val="single" w:color="000000" w:sz="8" w:space="0"/>
            </w:tcBorders>
            <w:tcMar>
              <w:left w:w="108" w:type="dxa"/>
              <w:top w:w="0" w:type="dxa"/>
              <w:right w:w="108" w:type="dxa"/>
              <w:bottom w:w="0" w:type="dxa"/>
            </w:tcMar>
            <w:tcW w:w="779" w:type="dxa"/>
            <w:vAlign w:val="center"/>
            <w:vMerge w:val="continue"/>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1"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扬州市政府门户网站内容保障运维服务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37"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color w:val="000000"/>
                <w:sz w:val="24"/>
                <w:szCs w:val="24"/>
              </w:rPr>
              <w:t xml:space="preserve">9.37</w:t>
            </w:r>
            <w:r/>
          </w:p>
        </w:tc>
      </w:tr>
      <w:tr>
        <w:trPr>
          <w:jc w:val="center"/>
        </w:trPr>
        <w:tc>
          <w:tcPr>
            <w:tcBorders>
              <w:left w:val="single" w:color="000000" w:sz="8" w:space="0"/>
              <w:right w:val="single" w:color="000000" w:sz="8" w:space="0"/>
            </w:tcBorders>
            <w:tcMar>
              <w:left w:w="108" w:type="dxa"/>
              <w:top w:w="0" w:type="dxa"/>
              <w:right w:w="108" w:type="dxa"/>
              <w:bottom w:w="0" w:type="dxa"/>
            </w:tcMar>
            <w:tcW w:w="779" w:type="dxa"/>
            <w:vAlign w:val="center"/>
            <w:vMerge w:val="continue"/>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1"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扬州市公共资源交易平台系统运维服务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37"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color w:val="000000"/>
                <w:sz w:val="24"/>
                <w:szCs w:val="24"/>
              </w:rPr>
              <w:t xml:space="preserve">11.25</w:t>
            </w:r>
            <w:r/>
          </w:p>
        </w:tc>
      </w:tr>
      <w:tr>
        <w:trPr>
          <w:jc w:val="center"/>
        </w:trPr>
        <w:tc>
          <w:tcPr>
            <w:tcBorders>
              <w:left w:val="single" w:color="000000" w:sz="8" w:space="0"/>
              <w:right w:val="single" w:color="000000" w:sz="8" w:space="0"/>
            </w:tcBorders>
            <w:tcMar>
              <w:left w:w="108" w:type="dxa"/>
              <w:top w:w="0" w:type="dxa"/>
              <w:right w:w="108" w:type="dxa"/>
              <w:bottom w:w="0" w:type="dxa"/>
            </w:tcMar>
            <w:tcW w:w="779" w:type="dxa"/>
            <w:vAlign w:val="center"/>
            <w:vMerge w:val="continue"/>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1"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扬州市国家电子营业执照应用服务系统运维服务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37"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color w:val="000000"/>
                <w:sz w:val="24"/>
                <w:szCs w:val="24"/>
              </w:rPr>
              <w:t xml:space="preserve">5</w:t>
            </w:r>
            <w:r/>
          </w:p>
        </w:tc>
      </w:tr>
      <w:tr>
        <w:trPr>
          <w:jc w:val="center"/>
        </w:trPr>
        <w:tc>
          <w:tcPr>
            <w:tcBorders>
              <w:left w:val="single" w:color="000000" w:sz="8" w:space="0"/>
              <w:bottom w:val="single" w:color="auto" w:sz="4" w:space="0"/>
              <w:right w:val="single" w:color="000000" w:sz="8" w:space="0"/>
            </w:tcBorders>
            <w:tcMar>
              <w:left w:w="108" w:type="dxa"/>
              <w:top w:w="0" w:type="dxa"/>
              <w:right w:w="108" w:type="dxa"/>
              <w:bottom w:w="0" w:type="dxa"/>
            </w:tcMar>
            <w:tcW w:w="779" w:type="dxa"/>
            <w:vAlign w:val="center"/>
            <w:vMerge w:val="continue"/>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1"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color w:val="000000"/>
                <w:spacing w:val="-5"/>
                <w:sz w:val="24"/>
                <w:szCs w:val="24"/>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37"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color w:val="000000"/>
                <w:sz w:val="24"/>
                <w:szCs w:val="24"/>
              </w:rPr>
              <w:t xml:space="preserve">146.36</w:t>
            </w:r>
            <w:r/>
          </w:p>
        </w:tc>
      </w:tr>
    </w:tbl>
    <w:p>
      <w:pPr>
        <w:numPr>
          <w:ilvl w:val="0"/>
          <w:numId w:val="3"/>
        </w:num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4823"/>
        <w:gridCol w:w="1823"/>
        <w:gridCol w:w="1784"/>
      </w:tblGrid>
      <w:tr>
        <w:trPr>
          <w:jc w:val="center"/>
        </w:trPr>
        <w:tc>
          <w:tcPr>
            <w:tcMar>
              <w:left w:w="108" w:type="dxa"/>
              <w:top w:w="0" w:type="dxa"/>
              <w:right w:w="108" w:type="dxa"/>
              <w:bottom w:w="0" w:type="dxa"/>
            </w:tcMar>
            <w:tcW w:w="73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Mar>
              <w:left w:w="108" w:type="dxa"/>
              <w:top w:w="0" w:type="dxa"/>
              <w:right w:w="108" w:type="dxa"/>
              <w:bottom w:w="0" w:type="dxa"/>
            </w:tcMar>
            <w:tcW w:w="4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采购标的</w:t>
            </w:r>
            <w:r/>
          </w:p>
        </w:tc>
        <w:tc>
          <w:tcPr>
            <w:tcMar>
              <w:left w:w="108" w:type="dxa"/>
              <w:top w:w="0" w:type="dxa"/>
              <w:right w:w="108" w:type="dxa"/>
              <w:bottom w:w="0" w:type="dxa"/>
            </w:tcMar>
            <w:tcW w:w="1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Mar>
              <w:left w:w="108" w:type="dxa"/>
              <w:top w:w="0" w:type="dxa"/>
              <w:right w:w="108" w:type="dxa"/>
              <w:bottom w:w="0" w:type="dxa"/>
            </w:tcMar>
            <w:tcW w:w="1784"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w:t>
            </w:r>
            <w:r>
              <w:rPr>
                <w:rFonts w:hint="eastAsia" w:ascii="宋体" w:hAnsi="宋体" w:cs="宋体"/>
                <w:color w:val="000000"/>
                <w:sz w:val="24"/>
              </w:rPr>
              <w:t xml:space="preserve">（</w:t>
            </w:r>
            <w:r>
              <w:rPr>
                <w:rFonts w:ascii="宋体" w:hAnsi="宋体" w:cs="宋体"/>
                <w:color w:val="000000"/>
                <w:sz w:val="24"/>
              </w:rPr>
              <w:t xml:space="preserve">人民币：万元）</w:t>
            </w:r>
            <w:r/>
          </w:p>
        </w:tc>
      </w:tr>
      <w:tr>
        <w:trPr>
          <w:jc w:val="center"/>
        </w:trPr>
        <w:tc>
          <w:tcPr>
            <w:tcMar>
              <w:left w:w="108" w:type="dxa"/>
              <w:top w:w="0" w:type="dxa"/>
              <w:right w:w="108" w:type="dxa"/>
              <w:bottom w:w="0" w:type="dxa"/>
            </w:tcMar>
            <w:tcW w:w="738" w:type="dxa"/>
            <w:vAlign w:val="center"/>
            <w:vMerge w:val="restart"/>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t xml:space="preserve">扬州市党政工作平台运维服务</w:t>
            </w:r>
            <w:r/>
          </w:p>
        </w:tc>
        <w:tc>
          <w:tcPr>
            <w:tcMar>
              <w:left w:w="108" w:type="dxa"/>
              <w:top w:w="0" w:type="dxa"/>
              <w:right w:w="108" w:type="dxa"/>
              <w:bottom w:w="0" w:type="dxa"/>
            </w:tcMar>
            <w:tcW w:w="1823" w:type="dxa"/>
            <w:vAlign w:val="center"/>
            <w:textDirection w:val="lrTb"/>
            <w:noWrap w:val="false"/>
          </w:tcPr>
          <w:p>
            <w:pPr>
              <w:jc w:val="center"/>
              <w:spacing w:line="400" w:lineRule="atLeast"/>
              <w:rPr>
                <w:rFonts w:hint="eastAsia" w:ascii="Times New Roman Regular" w:hAnsi="Times New Roman Regular" w:cs="Times New Roman Regular"/>
                <w:color w:val="000000"/>
                <w:sz w:val="24"/>
                <w:szCs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color w:val="000000"/>
                <w:sz w:val="24"/>
                <w:szCs w:val="24"/>
              </w:rPr>
              <w:t xml:space="preserve">是</w:t>
            </w:r>
            <w:r/>
          </w:p>
        </w:tc>
        <w:tc>
          <w:tcPr>
            <w:tcMar>
              <w:left w:w="108" w:type="dxa"/>
              <w:top w:w="0" w:type="dxa"/>
              <w:right w:w="108" w:type="dxa"/>
              <w:bottom w:w="0" w:type="dxa"/>
            </w:tcMar>
            <w:tcW w:w="1784" w:type="dxa"/>
            <w:vAlign w:val="center"/>
            <w:textDirection w:val="lrTb"/>
            <w:noWrap w:val="false"/>
          </w:tcPr>
          <w:p>
            <w:pPr>
              <w:jc w:val="center"/>
              <w:spacing w:line="400" w:lineRule="atLeast"/>
              <w:rPr>
                <w:sz w:val="24"/>
                <w:szCs w:val="24"/>
              </w:rPr>
              <w:pBdr>
                <w:top w:val="none" w:color="000000" w:sz="0" w:space="0"/>
                <w:left w:val="none" w:color="000000" w:sz="0" w:space="0"/>
                <w:bottom w:val="none" w:color="000000" w:sz="0" w:space="0"/>
                <w:right w:val="none" w:color="000000" w:sz="0" w:space="0"/>
              </w:pBdr>
            </w:pPr>
            <w:r>
              <w:rPr>
                <w:sz w:val="24"/>
                <w:szCs w:val="24"/>
              </w:rPr>
              <w:t xml:space="preserve">39.7</w:t>
            </w:r>
            <w:r/>
          </w:p>
        </w:tc>
      </w:tr>
      <w:tr>
        <w:trPr>
          <w:jc w:val="center"/>
        </w:trPr>
        <w:tc>
          <w:tcPr>
            <w:tcMar>
              <w:left w:w="108" w:type="dxa"/>
              <w:top w:w="0" w:type="dxa"/>
              <w:right w:w="108" w:type="dxa"/>
              <w:bottom w:w="0" w:type="dxa"/>
            </w:tcMar>
            <w:tcW w:w="738" w:type="dxa"/>
            <w:vAlign w:val="center"/>
            <w:vMerge w:val="continue"/>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扬州市房建市政交易7.0系统运维服务</w:t>
            </w:r>
            <w:r/>
          </w:p>
        </w:tc>
        <w:tc>
          <w:tcPr>
            <w:tcMar>
              <w:left w:w="108" w:type="dxa"/>
              <w:top w:w="0" w:type="dxa"/>
              <w:right w:w="108" w:type="dxa"/>
              <w:bottom w:w="0" w:type="dxa"/>
            </w:tcMar>
            <w:tcW w:w="1823" w:type="dxa"/>
            <w:vAlign w:val="center"/>
            <w:textDirection w:val="lrTb"/>
            <w:noWrap w:val="false"/>
          </w:tcPr>
          <w:p>
            <w:pPr>
              <w:jc w:val="center"/>
              <w:spacing w:line="400" w:lineRule="atLeast"/>
              <w:rPr>
                <w:rFonts w:hint="eastAsia"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sz w:val="24"/>
                <w:szCs w:val="24"/>
              </w:rPr>
              <w:t xml:space="preserve">是</w:t>
            </w:r>
            <w:r/>
          </w:p>
        </w:tc>
        <w:tc>
          <w:tcPr>
            <w:tcMar>
              <w:left w:w="108" w:type="dxa"/>
              <w:top w:w="0" w:type="dxa"/>
              <w:right w:w="108" w:type="dxa"/>
              <w:bottom w:w="0" w:type="dxa"/>
            </w:tcMar>
            <w:tcW w:w="1784" w:type="dxa"/>
            <w:vAlign w:val="center"/>
            <w:textDirection w:val="lrTb"/>
            <w:noWrap w:val="false"/>
          </w:tcPr>
          <w:p>
            <w:pPr>
              <w:jc w:val="center"/>
              <w:spacing w:line="400" w:lineRule="atLeast"/>
              <w:rPr>
                <w:sz w:val="24"/>
                <w:szCs w:val="24"/>
              </w:rPr>
              <w:pBdr>
                <w:top w:val="none" w:color="000000" w:sz="0" w:space="0"/>
                <w:left w:val="none" w:color="000000" w:sz="0" w:space="0"/>
                <w:bottom w:val="none" w:color="000000" w:sz="0" w:space="0"/>
                <w:right w:val="none" w:color="000000" w:sz="0" w:space="0"/>
              </w:pBdr>
            </w:pPr>
            <w:r>
              <w:rPr>
                <w:sz w:val="24"/>
                <w:szCs w:val="24"/>
              </w:rPr>
              <w:t xml:space="preserve">52.95</w:t>
            </w:r>
            <w:r/>
          </w:p>
        </w:tc>
      </w:tr>
      <w:tr>
        <w:trPr>
          <w:jc w:val="center"/>
        </w:trPr>
        <w:tc>
          <w:tcPr>
            <w:tcMar>
              <w:left w:w="108" w:type="dxa"/>
              <w:top w:w="0" w:type="dxa"/>
              <w:right w:w="108" w:type="dxa"/>
              <w:bottom w:w="0" w:type="dxa"/>
            </w:tcMar>
            <w:tcW w:w="738" w:type="dxa"/>
            <w:vAlign w:val="center"/>
            <w:vMerge w:val="continue"/>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一体化政务服务平台电子印章系统运维服务</w:t>
            </w:r>
            <w:r/>
          </w:p>
        </w:tc>
        <w:tc>
          <w:tcPr>
            <w:tcMar>
              <w:left w:w="108" w:type="dxa"/>
              <w:top w:w="0" w:type="dxa"/>
              <w:right w:w="108" w:type="dxa"/>
              <w:bottom w:w="0" w:type="dxa"/>
            </w:tcMar>
            <w:tcW w:w="1823" w:type="dxa"/>
            <w:vAlign w:val="center"/>
            <w:textDirection w:val="lrTb"/>
            <w:noWrap w:val="false"/>
          </w:tcPr>
          <w:p>
            <w:pPr>
              <w:jc w:val="center"/>
              <w:spacing w:line="400" w:lineRule="atLeast"/>
              <w:rPr>
                <w:rFonts w:hint="eastAsia"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sz w:val="24"/>
                <w:szCs w:val="24"/>
              </w:rPr>
              <w:t xml:space="preserve">是</w:t>
            </w:r>
            <w:r/>
          </w:p>
        </w:tc>
        <w:tc>
          <w:tcPr>
            <w:tcMar>
              <w:left w:w="108" w:type="dxa"/>
              <w:top w:w="0" w:type="dxa"/>
              <w:right w:w="108" w:type="dxa"/>
              <w:bottom w:w="0" w:type="dxa"/>
            </w:tcMar>
            <w:tcW w:w="1784" w:type="dxa"/>
            <w:vAlign w:val="center"/>
            <w:textDirection w:val="lrTb"/>
            <w:noWrap w:val="false"/>
          </w:tcPr>
          <w:p>
            <w:pPr>
              <w:jc w:val="center"/>
              <w:spacing w:line="400" w:lineRule="atLeast"/>
              <w:rPr>
                <w:sz w:val="24"/>
                <w:szCs w:val="24"/>
              </w:rPr>
              <w:pBdr>
                <w:top w:val="none" w:color="000000" w:sz="0" w:space="0"/>
                <w:left w:val="none" w:color="000000" w:sz="0" w:space="0"/>
                <w:bottom w:val="none" w:color="000000" w:sz="0" w:space="0"/>
                <w:right w:val="none" w:color="000000" w:sz="0" w:space="0"/>
              </w:pBdr>
            </w:pPr>
            <w:r>
              <w:rPr>
                <w:sz w:val="24"/>
                <w:szCs w:val="24"/>
              </w:rPr>
              <w:t xml:space="preserve">28.09</w:t>
            </w:r>
            <w:r/>
          </w:p>
        </w:tc>
      </w:tr>
      <w:tr>
        <w:trPr>
          <w:jc w:val="center"/>
        </w:trPr>
        <w:tc>
          <w:tcPr>
            <w:tcMar>
              <w:left w:w="108" w:type="dxa"/>
              <w:top w:w="0" w:type="dxa"/>
              <w:right w:w="108" w:type="dxa"/>
              <w:bottom w:w="0" w:type="dxa"/>
            </w:tcMar>
            <w:tcW w:w="738" w:type="dxa"/>
            <w:vAlign w:val="center"/>
            <w:vMerge w:val="continue"/>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扬州市政府门户网站内容保障运维服务</w:t>
            </w:r>
            <w:r/>
          </w:p>
        </w:tc>
        <w:tc>
          <w:tcPr>
            <w:tcMar>
              <w:left w:w="108" w:type="dxa"/>
              <w:top w:w="0" w:type="dxa"/>
              <w:right w:w="108" w:type="dxa"/>
              <w:bottom w:w="0" w:type="dxa"/>
            </w:tcMar>
            <w:tcW w:w="1823" w:type="dxa"/>
            <w:vAlign w:val="center"/>
            <w:textDirection w:val="lrTb"/>
            <w:noWrap w:val="false"/>
          </w:tcPr>
          <w:p>
            <w:pPr>
              <w:jc w:val="center"/>
              <w:spacing w:line="400" w:lineRule="atLeast"/>
              <w:rPr>
                <w:rFonts w:hint="eastAsia"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sz w:val="24"/>
                <w:szCs w:val="24"/>
              </w:rPr>
              <w:t xml:space="preserve">是</w:t>
            </w:r>
            <w:r/>
          </w:p>
        </w:tc>
        <w:tc>
          <w:tcPr>
            <w:tcMar>
              <w:left w:w="108" w:type="dxa"/>
              <w:top w:w="0" w:type="dxa"/>
              <w:right w:w="108" w:type="dxa"/>
              <w:bottom w:w="0" w:type="dxa"/>
            </w:tcMar>
            <w:tcW w:w="1784" w:type="dxa"/>
            <w:vAlign w:val="center"/>
            <w:textDirection w:val="lrTb"/>
            <w:noWrap w:val="false"/>
          </w:tcPr>
          <w:p>
            <w:pPr>
              <w:jc w:val="center"/>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9.37</w:t>
            </w:r>
            <w:r/>
          </w:p>
        </w:tc>
      </w:tr>
      <w:tr>
        <w:trPr>
          <w:jc w:val="center"/>
        </w:trPr>
        <w:tc>
          <w:tcPr>
            <w:tcMar>
              <w:left w:w="108" w:type="dxa"/>
              <w:top w:w="0" w:type="dxa"/>
              <w:right w:w="108" w:type="dxa"/>
              <w:bottom w:w="0" w:type="dxa"/>
            </w:tcMar>
            <w:tcW w:w="738" w:type="dxa"/>
            <w:vAlign w:val="center"/>
            <w:vMerge w:val="continue"/>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扬州市公共资源交易平台系统运维服务</w:t>
            </w:r>
            <w:r/>
          </w:p>
        </w:tc>
        <w:tc>
          <w:tcPr>
            <w:tcMar>
              <w:left w:w="108" w:type="dxa"/>
              <w:top w:w="0" w:type="dxa"/>
              <w:right w:w="108" w:type="dxa"/>
              <w:bottom w:w="0" w:type="dxa"/>
            </w:tcMar>
            <w:tcW w:w="1823" w:type="dxa"/>
            <w:vAlign w:val="center"/>
            <w:textDirection w:val="lrTb"/>
            <w:noWrap w:val="false"/>
          </w:tcPr>
          <w:p>
            <w:pPr>
              <w:jc w:val="center"/>
              <w:spacing w:line="400" w:lineRule="atLeast"/>
              <w:rPr>
                <w:rFonts w:hint="eastAsia"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sz w:val="24"/>
                <w:szCs w:val="24"/>
              </w:rPr>
              <w:t xml:space="preserve">是</w:t>
            </w:r>
            <w:r/>
          </w:p>
        </w:tc>
        <w:tc>
          <w:tcPr>
            <w:tcMar>
              <w:left w:w="108" w:type="dxa"/>
              <w:top w:w="0" w:type="dxa"/>
              <w:right w:w="108" w:type="dxa"/>
              <w:bottom w:w="0" w:type="dxa"/>
            </w:tcMar>
            <w:tcW w:w="1784" w:type="dxa"/>
            <w:vAlign w:val="center"/>
            <w:textDirection w:val="lrTb"/>
            <w:noWrap w:val="false"/>
          </w:tcPr>
          <w:p>
            <w:pPr>
              <w:jc w:val="center"/>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11.25</w:t>
            </w:r>
            <w:r/>
          </w:p>
        </w:tc>
      </w:tr>
      <w:tr>
        <w:trPr>
          <w:jc w:val="center"/>
        </w:trPr>
        <w:tc>
          <w:tcPr>
            <w:tcMar>
              <w:left w:w="108" w:type="dxa"/>
              <w:top w:w="0" w:type="dxa"/>
              <w:right w:w="108" w:type="dxa"/>
              <w:bottom w:w="0" w:type="dxa"/>
            </w:tcMar>
            <w:tcW w:w="738" w:type="dxa"/>
            <w:vAlign w:val="center"/>
            <w:vMerge w:val="continue"/>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扬州市国家电子营业执照应用服务系统运维服务</w:t>
            </w:r>
            <w:r/>
          </w:p>
        </w:tc>
        <w:tc>
          <w:tcPr>
            <w:tcMar>
              <w:left w:w="108" w:type="dxa"/>
              <w:top w:w="0" w:type="dxa"/>
              <w:right w:w="108" w:type="dxa"/>
              <w:bottom w:w="0" w:type="dxa"/>
            </w:tcMar>
            <w:tcW w:w="1823" w:type="dxa"/>
            <w:vAlign w:val="center"/>
            <w:textDirection w:val="lrTb"/>
            <w:noWrap w:val="false"/>
          </w:tcPr>
          <w:p>
            <w:pPr>
              <w:jc w:val="center"/>
              <w:spacing w:line="400" w:lineRule="atLeast"/>
              <w:rPr>
                <w:rFonts w:hint="eastAsia"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sz w:val="24"/>
                <w:szCs w:val="24"/>
              </w:rPr>
              <w:t xml:space="preserve">是</w:t>
            </w:r>
            <w:r/>
          </w:p>
        </w:tc>
        <w:tc>
          <w:tcPr>
            <w:tcMar>
              <w:left w:w="108" w:type="dxa"/>
              <w:top w:w="0" w:type="dxa"/>
              <w:right w:w="108" w:type="dxa"/>
              <w:bottom w:w="0" w:type="dxa"/>
            </w:tcMar>
            <w:tcW w:w="1784" w:type="dxa"/>
            <w:vAlign w:val="center"/>
            <w:textDirection w:val="lrTb"/>
            <w:noWrap w:val="false"/>
          </w:tcPr>
          <w:p>
            <w:pPr>
              <w:jc w:val="center"/>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5</w:t>
            </w:r>
            <w:r/>
          </w:p>
        </w:tc>
      </w:tr>
      <w:tr>
        <w:trPr>
          <w:jc w:val="center"/>
        </w:trPr>
        <w:tc>
          <w:tcPr>
            <w:tcMar>
              <w:left w:w="108" w:type="dxa"/>
              <w:top w:w="0" w:type="dxa"/>
              <w:right w:w="108" w:type="dxa"/>
              <w:bottom w:w="0" w:type="dxa"/>
            </w:tcMar>
            <w:tcW w:w="738" w:type="dxa"/>
            <w:vAlign w:val="center"/>
            <w:vMerge w:val="continue"/>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823" w:type="dxa"/>
            <w:vAlign w:val="center"/>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color w:val="000000"/>
                <w:spacing w:val="-5"/>
                <w:sz w:val="24"/>
                <w:szCs w:val="24"/>
              </w:rPr>
              <w:t xml:space="preserve">合计</w:t>
            </w:r>
            <w:r/>
          </w:p>
        </w:tc>
        <w:tc>
          <w:tcPr>
            <w:tcMar>
              <w:left w:w="108" w:type="dxa"/>
              <w:top w:w="0" w:type="dxa"/>
              <w:right w:w="108" w:type="dxa"/>
              <w:bottom w:w="0" w:type="dxa"/>
            </w:tcMar>
            <w:tcW w:w="1823" w:type="dxa"/>
            <w:vAlign w:val="center"/>
            <w:textDirection w:val="lrTb"/>
            <w:noWrap w:val="false"/>
          </w:tcPr>
          <w:p>
            <w:pPr>
              <w:jc w:val="center"/>
              <w:spacing w:line="400" w:lineRule="atLeast"/>
              <w:rPr>
                <w:rFonts w:hint="eastAsia" w:ascii="Times New Roman Regular" w:hAnsi="Times New Roman Regular" w:cs="Times New Roman Regular"/>
                <w:color w:val="000000"/>
                <w:spacing w:val="-5"/>
                <w:sz w:val="24"/>
                <w:szCs w:val="24"/>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cs="Times New Roman Regular"/>
                <w:color w:val="000000"/>
                <w:spacing w:val="-5"/>
                <w:sz w:val="24"/>
                <w:szCs w:val="24"/>
              </w:rPr>
              <w:t xml:space="preserve">是</w:t>
            </w:r>
            <w:r/>
          </w:p>
        </w:tc>
        <w:tc>
          <w:tcPr>
            <w:tcMar>
              <w:left w:w="108" w:type="dxa"/>
              <w:top w:w="0" w:type="dxa"/>
              <w:right w:w="108" w:type="dxa"/>
              <w:bottom w:w="0" w:type="dxa"/>
            </w:tcMar>
            <w:tcW w:w="1784" w:type="dxa"/>
            <w:vAlign w:val="center"/>
            <w:textDirection w:val="lrTb"/>
            <w:noWrap w:val="false"/>
          </w:tcPr>
          <w:p>
            <w:pPr>
              <w:jc w:val="center"/>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146.36</w:t>
            </w:r>
            <w:r/>
          </w:p>
        </w:tc>
      </w:tr>
    </w:tbl>
    <w:p>
      <w:pP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对扬州市数据局的扬州市党政工作平台、扬州市房建市政交易7.0系统、一体化政务服务平台电子印章系统、扬州市政府门户网站内容保障、扬州市公共资源交易平台系统、扬州市国家电子营业执照应用服务系统6个项目提供运维支撑服务，主要提供日常业务保障、运维保障、巡检维护、日志监控、故障处理、漏洞修复及驻场服务等工作，并结合扬州市一体化数字资源底座的统一运维管理系统搭建一套“流程闭环、数据支撑、知识复用”的一体化运维管理体系与团队。</w:t>
      </w:r>
      <w:r>
        <w:rPr>
          <w:rFonts w:ascii="宋体" w:hAnsi="宋体" w:cs="宋体"/>
          <w:color w:val="000000"/>
          <w:sz w:val="24"/>
        </w:rPr>
        <w:t xml:space="preserve">（详细内容见本招标文件第四章）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自合同约定的起始时间至2026年12月31日，每个系统运维最长不超过6个月。在项目运维服务期内，若其中有系统涉及安全适配改造，则该系统的运维服务终止。</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2"/>
        <w:gridCol w:w="3508"/>
        <w:gridCol w:w="41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0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3"/>
        <w:gridCol w:w="7593"/>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5"/>
        <w:gridCol w:w="75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w:t>
      </w:r>
      <w:r>
        <w:rPr>
          <w:rFonts w:hint="eastAsia" w:ascii="宋体" w:hAnsi="宋体" w:cs="宋体"/>
          <w:color w:val="ff0000"/>
          <w:sz w:val="24"/>
          <w:u w:val="single"/>
        </w:rPr>
        <w:t xml:space="preserve">6</w:t>
      </w:r>
      <w:r>
        <w:rPr>
          <w:rFonts w:ascii="宋体" w:hAnsi="宋体" w:cs="宋体"/>
          <w:color w:val="ff0000"/>
          <w:sz w:val="24"/>
          <w:u w:val="single"/>
        </w:rPr>
        <w:t xml:space="preserve">年 </w:t>
      </w:r>
      <w:r>
        <w:rPr>
          <w:rFonts w:hint="eastAsia" w:ascii="宋体" w:hAnsi="宋体" w:cs="宋体"/>
          <w:color w:val="ff0000"/>
          <w:sz w:val="24"/>
          <w:u w:val="single"/>
          <w:lang w:val="en-US" w:eastAsia="zh-CN"/>
        </w:rPr>
        <w:t xml:space="preserve">7</w:t>
      </w:r>
      <w:r>
        <w:rPr>
          <w:rFonts w:ascii="宋体" w:hAnsi="宋体" w:cs="宋体"/>
          <w:color w:val="ff0000"/>
          <w:sz w:val="24"/>
          <w:u w:val="single"/>
        </w:rPr>
        <w:t xml:space="preserve"> 月 </w:t>
      </w:r>
      <w:r>
        <w:rPr>
          <w:rFonts w:hint="eastAsia" w:ascii="宋体" w:hAnsi="宋体" w:cs="宋体"/>
          <w:color w:val="ff0000"/>
          <w:sz w:val="24"/>
          <w:u w:val="single"/>
          <w:lang w:val="en-US" w:eastAsia="zh-CN"/>
        </w:rPr>
        <w:t xml:space="preserve">30</w:t>
      </w:r>
      <w:bookmarkStart w:id="2" w:name="_GoBack"/>
      <w:r/>
      <w:bookmarkEnd w:id="2"/>
      <w:r>
        <w:rPr>
          <w:rFonts w:ascii="宋体" w:hAnsi="宋体" w:cs="宋体"/>
          <w:color w:val="ff0000"/>
          <w:sz w:val="24"/>
          <w:u w:val="single"/>
        </w:rPr>
        <w:t xml:space="preserve"> 日 </w:t>
      </w:r>
      <w:r>
        <w:rPr>
          <w:rFonts w:hint="eastAsia" w:ascii="宋体" w:hAnsi="宋体" w:cs="宋体"/>
          <w:color w:val="ff0000"/>
          <w:sz w:val="24"/>
          <w:u w:val="single"/>
        </w:rPr>
        <w:t xml:space="preserve">09</w:t>
      </w:r>
      <w:r>
        <w:rPr>
          <w:rFonts w:ascii="宋体" w:hAnsi="宋体" w:cs="宋体"/>
          <w:color w:val="ff0000"/>
          <w:sz w:val="24"/>
          <w:u w:val="single"/>
        </w:rPr>
        <w:t xml:space="preserve">点</w:t>
      </w:r>
      <w:r>
        <w:rPr>
          <w:rFonts w:hint="eastAsia" w:ascii="宋体" w:hAnsi="宋体" w:cs="宋体"/>
          <w:color w:val="ff0000"/>
          <w:sz w:val="24"/>
          <w:u w:val="single"/>
        </w:rPr>
        <w:t xml:space="preserve">30</w:t>
      </w:r>
      <w:r>
        <w:rPr>
          <w:rFonts w:ascii="宋体" w:hAnsi="宋体" w:cs="宋体"/>
          <w:color w:val="ff0000"/>
          <w:sz w:val="24"/>
          <w:u w:val="single"/>
        </w:rPr>
        <w:t xml:space="preserve"> 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rPr>
          <w:rFonts w:hint="eastAsia"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Times New Roman Regular" w:hAnsi="Times New Roman Regular" w:cs="Times New Roman Regular"/>
          <w:color w:val="000000"/>
          <w:sz w:val="24"/>
        </w:rPr>
        <w:t xml:space="preserve"> </w:t>
      </w:r>
      <w:r>
        <w:rPr>
          <w:rFonts w:hint="eastAsia" w:ascii="Times New Roman Regular" w:hAnsi="Times New Roman Regular" w:cs="Times New Roman Regular"/>
          <w:color w:val="000000"/>
          <w:sz w:val="24"/>
        </w:rPr>
        <w:tab/>
      </w:r>
      <w:r>
        <w:rPr>
          <w:rFonts w:hint="eastAsia" w:ascii="Times New Roman Regular" w:hAnsi="Times New Roman Regular" w:cs="Times New Roman Regular"/>
          <w:color w:val="000000"/>
          <w:sz w:val="24"/>
        </w:rPr>
        <w:t xml:space="preserve"> </w:t>
      </w:r>
      <w:r>
        <w:rPr>
          <w:rFonts w:ascii="Times New Roman Regular" w:hAnsi="Times New Roman Regular" w:cs="Times New Roman Regular"/>
          <w:color w:val="000000"/>
          <w:sz w:val="24"/>
        </w:rPr>
        <w:t xml:space="preserve">1.采购人信息</w:t>
      </w:r>
      <w:r/>
    </w:p>
    <w:p>
      <w:pPr>
        <w:ind w:firstLine="787"/>
        <w:spacing w:line="400" w:lineRule="atLeast"/>
        <w:rPr>
          <w:rFonts w:hint="eastAsia"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rPr>
        <w:t xml:space="preserve">名 称：</w:t>
      </w:r>
      <w:r>
        <w:rPr>
          <w:rFonts w:ascii="Times New Roman Regular" w:hAnsi="Times New Roman Regular" w:cs="Times New Roman Regular"/>
          <w:color w:val="000000"/>
          <w:sz w:val="24"/>
          <w:u w:val="single"/>
        </w:rPr>
        <w:t xml:space="preserve">扬州市数据局</w:t>
      </w:r>
      <w:r/>
    </w:p>
    <w:p>
      <w:pPr>
        <w:ind w:firstLine="787"/>
        <w:spacing w:line="400" w:lineRule="atLeast"/>
        <w:rPr>
          <w:rFonts w:hint="eastAsia"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rPr>
        <w:t xml:space="preserve">地 址：</w:t>
      </w:r>
      <w:r>
        <w:rPr>
          <w:rFonts w:ascii="Times New Roman Regular" w:hAnsi="Times New Roman Regular" w:cs="Times New Roman Regular"/>
          <w:color w:val="000000"/>
          <w:sz w:val="24"/>
          <w:u w:val="single"/>
        </w:rPr>
        <w:t xml:space="preserve">扬州市广陵区文昌东路9号</w:t>
      </w:r>
      <w:r/>
    </w:p>
    <w:p>
      <w:pPr>
        <w:ind w:firstLine="787"/>
        <w:spacing w:line="400" w:lineRule="atLeast"/>
        <w:rPr>
          <w:rFonts w:hint="eastAsia"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rPr>
        <w:t xml:space="preserve">联系人：</w:t>
      </w:r>
      <w:r>
        <w:rPr>
          <w:rFonts w:ascii="Times New Roman Regular" w:hAnsi="Times New Roman Regular" w:cs="Times New Roman Regular"/>
          <w:color w:val="000000"/>
          <w:sz w:val="24"/>
          <w:u w:val="single"/>
        </w:rPr>
        <w:t xml:space="preserve">陈旭章</w:t>
      </w:r>
      <w:r/>
    </w:p>
    <w:p>
      <w:pPr>
        <w:ind w:firstLine="787"/>
        <w:spacing w:line="400" w:lineRule="atLeast"/>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rPr>
        <w:t xml:space="preserve">联系方式：</w:t>
      </w:r>
      <w:r>
        <w:rPr>
          <w:rFonts w:ascii="Times New Roman Regular" w:hAnsi="Times New Roman Regular" w:cs="Times New Roman Regular"/>
          <w:color w:val="000000"/>
          <w:sz w:val="24"/>
          <w:u w:val="single"/>
        </w:rPr>
        <w:t xml:space="preserve">0514-82081776</w:t>
      </w: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2.</w:t>
      </w:r>
      <w:r>
        <w:rPr>
          <w:rFonts w:hAnsi="宋体"/>
          <w:color w:val="000000"/>
          <w:sz w:val="24"/>
        </w:rPr>
        <w:t xml:space="preserve">扬州市公共资源交易中心</w:t>
      </w:r>
      <w:r/>
    </w:p>
    <w:p>
      <w:pPr>
        <w:ind w:firstLine="720"/>
        <w:spacing w:line="400" w:lineRule="exact"/>
        <w:rPr>
          <w:u w:val="single"/>
        </w:rPr>
      </w:pPr>
      <w:r>
        <w:rPr>
          <w:color w:val="000000"/>
          <w:sz w:val="24"/>
        </w:rPr>
        <w:t xml:space="preserve"> </w:t>
      </w:r>
      <w:r>
        <w:rPr>
          <w:rFonts w:hAnsi="宋体"/>
          <w:color w:val="000000"/>
          <w:sz w:val="24"/>
        </w:rPr>
        <w:t xml:space="preserve">地　址：</w:t>
      </w:r>
      <w:r>
        <w:rPr>
          <w:rFonts w:hAnsi="宋体"/>
          <w:color w:val="000000"/>
          <w:sz w:val="24"/>
          <w:u w:val="single"/>
        </w:rPr>
        <w:t xml:space="preserve">扬州市文昌东路</w:t>
      </w:r>
      <w:r>
        <w:rPr>
          <w:color w:val="000000"/>
          <w:sz w:val="24"/>
          <w:u w:val="single"/>
        </w:rPr>
        <w:t xml:space="preserve">9</w:t>
      </w:r>
      <w:r>
        <w:rPr>
          <w:rFonts w:hAnsi="宋体"/>
          <w:color w:val="000000"/>
          <w:sz w:val="24"/>
          <w:u w:val="single"/>
        </w:rPr>
        <w:t xml:space="preserve">号市民中心</w:t>
      </w:r>
      <w:r>
        <w:rPr>
          <w:color w:val="000000"/>
          <w:sz w:val="24"/>
          <w:u w:val="single"/>
        </w:rPr>
        <w:t xml:space="preserve">1</w:t>
      </w:r>
      <w:r>
        <w:rPr>
          <w:rFonts w:hAnsi="宋体"/>
          <w:color w:val="000000"/>
          <w:sz w:val="24"/>
          <w:u w:val="single"/>
        </w:rPr>
        <w:t xml:space="preserve">号楼</w:t>
      </w:r>
      <w:r>
        <w:rPr>
          <w:color w:val="000000"/>
          <w:sz w:val="24"/>
          <w:szCs w:val="24"/>
          <w:u w:val="single"/>
        </w:rPr>
        <w:t xml:space="preserve">5</w:t>
      </w:r>
      <w:r>
        <w:rPr>
          <w:rFonts w:hAnsi="宋体"/>
          <w:color w:val="000000"/>
          <w:sz w:val="24"/>
          <w:szCs w:val="24"/>
          <w:u w:val="single"/>
        </w:rPr>
        <w:t xml:space="preserve">楼</w:t>
      </w:r>
      <w:r>
        <w:rPr>
          <w:color w:val="000000"/>
          <w:sz w:val="24"/>
          <w:szCs w:val="24"/>
          <w:u w:val="single"/>
        </w:rPr>
        <w:t xml:space="preserve">1530</w:t>
      </w:r>
      <w:r>
        <w:rPr>
          <w:rFonts w:hAnsi="宋体"/>
          <w:color w:val="000000"/>
          <w:sz w:val="24"/>
          <w:szCs w:val="24"/>
          <w:u w:val="single"/>
        </w:rPr>
        <w:t xml:space="preserve">室</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联系人：</w:t>
      </w:r>
      <w:r>
        <w:rPr>
          <w:rFonts w:hAnsi="宋体"/>
          <w:color w:val="000000"/>
          <w:sz w:val="24"/>
          <w:u w:val="single"/>
        </w:rPr>
        <w:t xml:space="preserve">李想</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联系方式：</w:t>
      </w:r>
      <w:r>
        <w:rPr>
          <w:color w:val="000000"/>
          <w:sz w:val="24"/>
          <w:u w:val="single"/>
        </w:rPr>
        <w:t xml:space="preserve">0514-82087118</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投标（响应）报价低于通过符合性审查的次低报价供应商投标（响应）报价50%的，即投标（响应）报价&lt;通过符合性审查的次低报价供应商投标（响应）报价×50%；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 45% 的，即投标（响应）报价&lt;采购项目最高限价×45%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w:t>
      </w:r>
      <w:r>
        <w:rPr>
          <w:rFonts w:hint="eastAsia" w:ascii="宋体" w:hAnsi="宋体" w:cs="宋体"/>
          <w:color w:val="000000"/>
          <w:sz w:val="24"/>
        </w:rPr>
        <w:t xml:space="preserve">供应商（含潜在供应商）对与本项目有关的所有询问、质疑均请向采购人提出，由采购人负责答复。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hint="eastAsia"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rPr>
          <w:rFonts w:hint="eastAsia" w:ascii="宋体" w:hAnsi="宋体" w:cs="宋体"/>
          <w:color w:val="000000"/>
          <w:sz w:val="24"/>
        </w:rPr>
      </w:pPr>
      <w:r>
        <w:rPr>
          <w:rFonts w:ascii="宋体" w:hAnsi="宋体" w:cs="宋体"/>
          <w:color w:val="000000"/>
          <w:sz w:val="24"/>
        </w:rPr>
        <w:br w:type="page" w:clear="all"/>
      </w:r>
      <w:r/>
    </w:p>
    <w:p>
      <w:pPr>
        <w:pStyle w:val="7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hanging="408"/>
        <w:spacing w:before="120" w:after="120"/>
        <w:rPr>
          <w:rFonts w:hint="eastAsia"/>
          <w:sz w:val="24"/>
          <w:szCs w:val="24"/>
        </w:rPr>
        <w:pBdr>
          <w:top w:val="none" w:color="000000" w:sz="0" w:space="0"/>
          <w:left w:val="none" w:color="000000" w:sz="0" w:space="0"/>
          <w:bottom w:val="none" w:color="000000" w:sz="0" w:space="0"/>
          <w:right w:val="none" w:color="000000" w:sz="0" w:space="0"/>
        </w:pBdr>
      </w:pPr>
      <w:r>
        <w:rPr>
          <w:sz w:val="24"/>
          <w:szCs w:val="24"/>
        </w:rPr>
        <w:t xml:space="preserve">4.2所有项目资料及工作成果（</w:t>
      </w:r>
      <w:r>
        <w:rPr>
          <w:rFonts w:hint="eastAsia"/>
          <w:sz w:val="24"/>
          <w:szCs w:val="24"/>
        </w:rPr>
        <w:t xml:space="preserve">乙方</w:t>
      </w:r>
      <w:r>
        <w:rPr>
          <w:sz w:val="24"/>
          <w:szCs w:val="24"/>
        </w:rPr>
        <w:t xml:space="preserve">原有产品除外）的知识产权权利归</w:t>
      </w:r>
      <w:r>
        <w:rPr>
          <w:rFonts w:hint="eastAsia"/>
          <w:sz w:val="24"/>
          <w:szCs w:val="24"/>
        </w:rPr>
        <w:t xml:space="preserve">甲方</w:t>
      </w:r>
      <w:r>
        <w:rPr>
          <w:sz w:val="24"/>
          <w:szCs w:val="24"/>
        </w:rPr>
        <w:t xml:space="preserve">所有。乙方针对本项目开发的软件，须在项目验收阶段提交软件源代码、安装程序及操作文档。若乙方在项目实施过程中使用自有知识成果，应提供开发接口、开发手册等技术文档，并提供相应技术支持。</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8.1合同款项的支付方式及进度安排</w:t>
      </w:r>
      <w:r/>
    </w:p>
    <w:p>
      <w:pPr>
        <w:spacing w:before="145" w:after="14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8.1.1 预付款支付时间：合同签订，甲方自收到发票</w:t>
      </w:r>
      <w:r>
        <w:rPr>
          <w:rFonts w:hint="eastAsia" w:ascii="宋体" w:hAnsi="宋体" w:cs="宋体"/>
          <w:color w:val="000000"/>
          <w:sz w:val="24"/>
          <w:lang w:val="en-US" w:eastAsia="zh-CN"/>
        </w:rPr>
        <w:t xml:space="preserve">后</w:t>
      </w:r>
      <w:r>
        <w:rPr>
          <w:rFonts w:hint="eastAsia" w:ascii="宋体" w:hAnsi="宋体" w:cs="宋体"/>
          <w:color w:val="000000"/>
          <w:sz w:val="24"/>
        </w:rPr>
        <w:t xml:space="preserve">10个工作日内，支付合同总价30%的预付款。</w:t>
      </w:r>
      <w:r/>
    </w:p>
    <w:p>
      <w:pPr>
        <w:spacing w:before="145" w:after="145"/>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8.1.2 尾款支付时间：项目验收合格,甲方</w:t>
      </w:r>
      <w:r>
        <w:rPr>
          <w:rFonts w:hint="eastAsia" w:ascii="宋体" w:hAnsi="宋体" w:cs="宋体"/>
          <w:color w:val="000000"/>
          <w:sz w:val="24"/>
          <w:lang w:val="en-US" w:eastAsia="zh-CN"/>
        </w:rPr>
        <w:t xml:space="preserve">自</w:t>
      </w:r>
      <w:r>
        <w:rPr>
          <w:rFonts w:hint="eastAsia" w:ascii="宋体" w:hAnsi="宋体" w:cs="宋体"/>
          <w:color w:val="000000"/>
          <w:sz w:val="24"/>
        </w:rPr>
        <w:t xml:space="preserve">收到发票</w:t>
      </w:r>
      <w:r>
        <w:rPr>
          <w:rFonts w:hint="eastAsia" w:ascii="宋体" w:hAnsi="宋体" w:cs="宋体"/>
          <w:color w:val="000000"/>
          <w:sz w:val="24"/>
          <w:lang w:val="en-US" w:eastAsia="zh-CN"/>
        </w:rPr>
        <w:t xml:space="preserve">后</w:t>
      </w:r>
      <w:r>
        <w:rPr>
          <w:rFonts w:hint="eastAsia" w:ascii="宋体" w:hAnsi="宋体" w:cs="宋体"/>
          <w:color w:val="000000"/>
          <w:sz w:val="24"/>
        </w:rPr>
        <w:t xml:space="preserve">10个工作日内，支付合同总价的70%。若系统运维因安全适配改造而终止，甲乙双方按实际服务时长进行结算。</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spacing w:before="120" w:after="12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spacing w:before="120" w:after="120"/>
        <w:pBdr>
          <w:top w:val="none" w:color="000000" w:sz="0" w:space="0"/>
          <w:left w:val="none" w:color="000000" w:sz="0" w:space="0"/>
          <w:bottom w:val="none" w:color="000000" w:sz="0" w:space="0"/>
          <w:right w:val="none" w:color="000000" w:sz="0" w:space="0"/>
        </w:pBdr>
      </w:pPr>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17"/>
        <w:jc w:val="center"/>
        <w:rPr>
          <w:rFonts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eastAsia="黑体" w:cs="Times New Roman Regular"/>
          <w:b/>
          <w:color w:val="000000"/>
          <w:sz w:val="44"/>
        </w:rPr>
        <w:t xml:space="preserve">第四章 采购需求</w:t>
      </w:r>
      <w:r/>
    </w:p>
    <w:p>
      <w:pPr>
        <w:ind w:left="495" w:hanging="495"/>
        <w:spacing w:line="360" w:lineRule="auto"/>
        <w:rPr>
          <w:rFonts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b/>
          <w:color w:val="000000"/>
          <w:sz w:val="24"/>
        </w:rPr>
        <w:t xml:space="preserve">一、项目属性:服务类项目</w:t>
      </w:r>
      <w:r/>
    </w:p>
    <w:p>
      <w:pPr>
        <w:ind w:firstLine="480"/>
        <w:spacing w:line="360" w:lineRule="auto"/>
        <w:rPr>
          <w:rFonts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rPr>
        <w:t xml:space="preserve">1</w:t>
      </w:r>
      <w:r>
        <w:rPr>
          <w:rFonts w:ascii="Times New Roman Regular" w:hAnsi="Times New Roman Regular" w:eastAsia="Times New Roman" w:cs="Times New Roman Regular"/>
          <w:color w:val="000000"/>
          <w:sz w:val="24"/>
        </w:rPr>
        <w:t xml:space="preserve">.</w:t>
      </w:r>
      <w:r>
        <w:rPr>
          <w:rFonts w:ascii="Times New Roman Regular" w:hAnsi="Times New Roman Regular" w:cs="Times New Roman Regular"/>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Times New Roman Regular" w:hAnsi="Times New Roman Regular" w:cs="Times New Roman Regular"/>
          <w:color w:val="000000"/>
          <w:sz w:val="24"/>
          <w:u w:val="single"/>
        </w:rPr>
        <w:t xml:space="preserve"> </w:t>
      </w:r>
      <w:r>
        <w:rPr>
          <w:rFonts w:ascii="Times New Roman Regular" w:hAnsi="Times New Roman Regular" w:eastAsia="Times New Roman" w:cs="Times New Roman Regular"/>
          <w:color w:val="000000"/>
          <w:sz w:val="24"/>
          <w:u w:val="single"/>
        </w:rPr>
        <w:t xml:space="preserve">    </w:t>
      </w:r>
      <w:r>
        <w:rPr>
          <w:rFonts w:ascii="Times New Roman Regular" w:hAnsi="Times New Roman Regular" w:cs="Times New Roman Regular"/>
          <w:color w:val="000000"/>
          <w:sz w:val="24"/>
          <w:u w:val="single"/>
        </w:rPr>
        <w:t xml:space="preserve">无   </w:t>
      </w:r>
      <w:r>
        <w:rPr>
          <w:rFonts w:ascii="Times New Roman Regular" w:hAnsi="Times New Roman Regular" w:eastAsia="Times New Roman" w:cs="Times New Roman Regular"/>
          <w:color w:val="000000"/>
          <w:sz w:val="24"/>
          <w:u w:val="single"/>
        </w:rPr>
        <w:t xml:space="preserve"> </w:t>
      </w:r>
      <w:r>
        <w:rPr>
          <w:rFonts w:ascii="Times New Roman Regular" w:hAnsi="Times New Roman Regular" w:cs="Times New Roman Regular"/>
          <w:color w:val="000000"/>
          <w:sz w:val="24"/>
          <w:u w:val="single"/>
        </w:rPr>
        <w:t xml:space="preserve"> </w:t>
      </w:r>
      <w:r>
        <w:rPr>
          <w:rFonts w:ascii="Times New Roman Regular" w:hAnsi="Times New Roman Regular" w:cs="Times New Roman Regular"/>
          <w:color w:val="000000"/>
          <w:sz w:val="24"/>
        </w:rPr>
        <w:t xml:space="preserve">。</w:t>
      </w:r>
      <w:r/>
    </w:p>
    <w:p>
      <w:pPr>
        <w:ind w:firstLine="480"/>
        <w:spacing w:line="360" w:lineRule="auto"/>
        <w:rPr>
          <w:rFonts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eastAsia="Times New Roman" w:cs="Times New Roman Regular"/>
          <w:color w:val="000000"/>
          <w:sz w:val="24"/>
        </w:rPr>
        <w:t xml:space="preserve">2.</w:t>
      </w:r>
      <w:r>
        <w:rPr>
          <w:rFonts w:ascii="Times New Roman Regular" w:hAnsi="Times New Roman Regular" w:cs="Times New Roman Regular"/>
          <w:color w:val="000000"/>
          <w:sz w:val="24"/>
        </w:rPr>
        <w:t xml:space="preserve">供应商对于投标产品的包装应按照“财办库〔</w:t>
      </w:r>
      <w:r>
        <w:rPr>
          <w:rFonts w:ascii="Times New Roman Regular" w:hAnsi="Times New Roman Regular" w:eastAsia="Times New Roman" w:cs="Times New Roman Regular"/>
          <w:color w:val="000000"/>
          <w:sz w:val="24"/>
        </w:rPr>
        <w:t xml:space="preserve">2020</w:t>
      </w:r>
      <w:r>
        <w:rPr>
          <w:rFonts w:ascii="Times New Roman Regular" w:hAnsi="Times New Roman Regular" w:cs="Times New Roman Regular"/>
          <w:color w:val="000000"/>
          <w:sz w:val="24"/>
        </w:rPr>
        <w:t xml:space="preserve">〕</w:t>
      </w:r>
      <w:r>
        <w:rPr>
          <w:rFonts w:ascii="Times New Roman Regular" w:hAnsi="Times New Roman Regular" w:eastAsia="Times New Roman" w:cs="Times New Roman Regular"/>
          <w:color w:val="000000"/>
          <w:sz w:val="24"/>
        </w:rPr>
        <w:t xml:space="preserve">123</w:t>
      </w:r>
      <w:r>
        <w:rPr>
          <w:rFonts w:ascii="Times New Roman Regular" w:hAnsi="Times New Roman Regular" w:cs="Times New Roman Regular"/>
          <w:color w:val="000000"/>
          <w:sz w:val="24"/>
        </w:rPr>
        <w:t xml:space="preserve">号《关于印发《商品包装政府采购需求标准（试行）》、《快递包装政府采购需求标准（试行）》的通知》”执行。</w:t>
      </w:r>
      <w:r/>
    </w:p>
    <w:p>
      <w:pPr>
        <w:ind w:firstLine="480"/>
        <w:spacing w:line="360" w:lineRule="auto"/>
        <w:rPr>
          <w:rFonts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rPr>
        <w:t xml:space="preserve">3.采购标的清单</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5500"/>
        <w:gridCol w:w="2790"/>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41" w:type="dxa"/>
            <w:vAlign w:val="center"/>
            <w:textDirection w:val="lrTb"/>
            <w:noWrap w:val="false"/>
          </w:tcPr>
          <w:p>
            <w:pPr>
              <w:jc w:val="center"/>
              <w:spacing w:line="360" w:lineRule="auto"/>
              <w:rPr>
                <w:rFonts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z w:val="24"/>
                <w:szCs w:val="24"/>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500" w:type="dxa"/>
            <w:vAlign w:val="center"/>
            <w:textDirection w:val="lrTb"/>
            <w:noWrap w:val="false"/>
          </w:tcPr>
          <w:p>
            <w:pPr>
              <w:jc w:val="center"/>
              <w:spacing w:line="360" w:lineRule="auto"/>
              <w:rPr>
                <w:rFonts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t xml:space="preserve">采购标的</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790" w:type="dxa"/>
            <w:vAlign w:val="center"/>
            <w:textDirection w:val="lrTb"/>
            <w:noWrap w:val="false"/>
          </w:tcPr>
          <w:p>
            <w:pPr>
              <w:jc w:val="center"/>
              <w:spacing w:line="360" w:lineRule="auto"/>
              <w:rPr>
                <w:rFonts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t xml:space="preserve">对应中小企业划分标准所属行业</w:t>
            </w:r>
            <w:r/>
          </w:p>
        </w:tc>
      </w:tr>
      <w:tr>
        <w:trPr>
          <w:trHeight w:val="291"/>
        </w:trPr>
        <w:tc>
          <w:tcPr>
            <w:tcBorders>
              <w:top w:val="single" w:color="auto" w:sz="4" w:space="0"/>
              <w:left w:val="single" w:color="auto" w:sz="4" w:space="0"/>
              <w:right w:val="single" w:color="auto" w:sz="4" w:space="0"/>
            </w:tcBorders>
            <w:tcMar>
              <w:left w:w="108" w:type="dxa"/>
              <w:top w:w="0" w:type="dxa"/>
              <w:right w:w="108" w:type="dxa"/>
              <w:bottom w:w="0" w:type="dxa"/>
            </w:tcMar>
            <w:tcW w:w="741" w:type="dxa"/>
            <w:vAlign w:val="center"/>
            <w:vMerge w:val="restart"/>
            <w:textDirection w:val="lrTb"/>
            <w:noWrap w:val="false"/>
          </w:tcPr>
          <w:p>
            <w:pPr>
              <w:jc w:val="center"/>
              <w:spacing w:line="360" w:lineRule="auto"/>
              <w:rPr>
                <w:rFonts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0"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color w:val="000000"/>
                <w:sz w:val="24"/>
                <w:szCs w:val="24"/>
              </w:rPr>
              <w:t xml:space="preserve">扬州市党政工作平台运维服务</w:t>
            </w:r>
            <w:r/>
          </w:p>
        </w:tc>
        <w:tc>
          <w:tcPr>
            <w:tcBorders>
              <w:top w:val="single" w:color="auto" w:sz="4" w:space="0"/>
              <w:left w:val="single" w:color="auto" w:sz="4" w:space="0"/>
              <w:right w:val="single" w:color="auto" w:sz="4" w:space="0"/>
            </w:tcBorders>
            <w:tcMar>
              <w:left w:w="108" w:type="dxa"/>
              <w:top w:w="0" w:type="dxa"/>
              <w:right w:w="108" w:type="dxa"/>
              <w:bottom w:w="0" w:type="dxa"/>
            </w:tcMar>
            <w:tcW w:w="2790" w:type="dxa"/>
            <w:vAlign w:val="center"/>
            <w:vMerge w:val="restart"/>
            <w:textDirection w:val="lrTb"/>
            <w:noWrap w:val="false"/>
          </w:tcPr>
          <w:p>
            <w:pPr>
              <w:jc w:val="center"/>
              <w:spacing w:line="360" w:lineRule="auto"/>
              <w:rPr>
                <w:rFonts w:ascii="Times New Roman Regular" w:hAnsi="Times New Roman Regular" w:cs="Times New Roman Regular"/>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pacing w:val="-1"/>
                <w:sz w:val="24"/>
                <w:szCs w:val="24"/>
              </w:rPr>
              <w:t xml:space="preserve">软件和信</w:t>
            </w:r>
            <w:r>
              <w:rPr>
                <w:rFonts w:ascii="Times New Roman Regular" w:hAnsi="Times New Roman Regular" w:cs="Times New Roman Regular"/>
                <w:spacing w:val="-3"/>
                <w:sz w:val="24"/>
                <w:szCs w:val="24"/>
              </w:rPr>
              <w:t xml:space="preserve">息技术服</w:t>
            </w:r>
            <w:r>
              <w:rPr>
                <w:rFonts w:ascii="Times New Roman Regular" w:hAnsi="Times New Roman Regular" w:cs="Times New Roman Regular"/>
                <w:spacing w:val="-4"/>
                <w:sz w:val="24"/>
                <w:szCs w:val="24"/>
              </w:rPr>
              <w:t xml:space="preserve">务业</w:t>
            </w:r>
            <w:r/>
          </w:p>
        </w:tc>
      </w:tr>
      <w:tr>
        <w:trPr>
          <w:trHeight w:val="291"/>
        </w:trPr>
        <w:tc>
          <w:tcPr>
            <w:tcBorders>
              <w:left w:val="single" w:color="auto" w:sz="4" w:space="0"/>
              <w:right w:val="single" w:color="auto" w:sz="4" w:space="0"/>
            </w:tcBorders>
            <w:tcMar>
              <w:left w:w="108" w:type="dxa"/>
              <w:top w:w="0" w:type="dxa"/>
              <w:right w:w="108" w:type="dxa"/>
              <w:bottom w:w="0" w:type="dxa"/>
            </w:tcMar>
            <w:tcW w:w="741" w:type="dxa"/>
            <w:vAlign w:val="center"/>
            <w:vMerge w:val="continue"/>
            <w:textDirection w:val="lrTb"/>
            <w:noWrap w:val="false"/>
          </w:tcPr>
          <w:p>
            <w:pPr>
              <w:jc w:val="center"/>
              <w:spacing w:line="360" w:lineRule="auto"/>
              <w:rPr>
                <w:rFonts w:ascii="Times New Roman Regular" w:hAnsi="Times New Roman Regular" w:cs="Times New Roman Regular"/>
                <w:color w:val="000000"/>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0" w:type="dxa"/>
            <w:vAlign w:val="center"/>
            <w:textDirection w:val="lrTb"/>
            <w:noWrap w:val="false"/>
          </w:tcPr>
          <w:p>
            <w:pPr>
              <w:jc w:val="center"/>
              <w:rPr>
                <w:rFonts w:ascii="Times New Roman Regular" w:hAnsi="Times New Roman Regular" w:cs="Times New Roman Regular"/>
                <w:color w:val="000000"/>
                <w:sz w:val="24"/>
              </w:rPr>
            </w:pPr>
            <w:r>
              <w:rPr>
                <w:rFonts w:ascii="Times New Roman Regular" w:hAnsi="Times New Roman Regular" w:cs="Times New Roman Regular"/>
                <w:sz w:val="24"/>
                <w:szCs w:val="24"/>
              </w:rPr>
              <w:t xml:space="preserve">扬州市房建市政交易7.0系统运维服务</w:t>
            </w:r>
            <w:r/>
          </w:p>
        </w:tc>
        <w:tc>
          <w:tcPr>
            <w:tcBorders>
              <w:left w:val="single" w:color="auto" w:sz="4" w:space="0"/>
              <w:right w:val="single" w:color="auto" w:sz="4" w:space="0"/>
            </w:tcBorders>
            <w:tcMar>
              <w:left w:w="108" w:type="dxa"/>
              <w:top w:w="0" w:type="dxa"/>
              <w:right w:w="108" w:type="dxa"/>
              <w:bottom w:w="0" w:type="dxa"/>
            </w:tcMar>
            <w:tcW w:w="2790" w:type="dxa"/>
            <w:vAlign w:val="center"/>
            <w:vMerge w:val="continue"/>
            <w:textDirection w:val="lrTb"/>
            <w:noWrap w:val="false"/>
          </w:tcPr>
          <w:p>
            <w:pPr>
              <w:jc w:val="center"/>
              <w:spacing w:line="360" w:lineRule="auto"/>
              <w:rPr>
                <w:rFonts w:ascii="Times New Roman Regular" w:hAnsi="Times New Roman Regular" w:cs="Times New Roman Regular"/>
                <w:spacing w:val="-1"/>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pacing w:val="-1"/>
                <w:sz w:val="24"/>
                <w:szCs w:val="24"/>
              </w:rPr>
            </w:r>
            <w:r/>
          </w:p>
        </w:tc>
      </w:tr>
      <w:tr>
        <w:trPr>
          <w:trHeight w:val="291"/>
        </w:trPr>
        <w:tc>
          <w:tcPr>
            <w:tcBorders>
              <w:left w:val="single" w:color="auto" w:sz="4" w:space="0"/>
              <w:right w:val="single" w:color="auto" w:sz="4" w:space="0"/>
            </w:tcBorders>
            <w:tcMar>
              <w:left w:w="108" w:type="dxa"/>
              <w:top w:w="0" w:type="dxa"/>
              <w:right w:w="108" w:type="dxa"/>
              <w:bottom w:w="0" w:type="dxa"/>
            </w:tcMar>
            <w:tcW w:w="741" w:type="dxa"/>
            <w:vAlign w:val="center"/>
            <w:vMerge w:val="continue"/>
            <w:textDirection w:val="lrTb"/>
            <w:noWrap w:val="false"/>
          </w:tcPr>
          <w:p>
            <w:pPr>
              <w:jc w:val="center"/>
              <w:spacing w:line="360" w:lineRule="auto"/>
              <w:rPr>
                <w:rFonts w:ascii="Times New Roman Regular" w:hAnsi="Times New Roman Regular" w:cs="Times New Roman Regular"/>
                <w:color w:val="000000"/>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0" w:type="dxa"/>
            <w:vAlign w:val="center"/>
            <w:textDirection w:val="lrTb"/>
            <w:noWrap w:val="false"/>
          </w:tcPr>
          <w:p>
            <w:pPr>
              <w:jc w:val="center"/>
              <w:rPr>
                <w:rFonts w:ascii="Times New Roman Regular" w:hAnsi="Times New Roman Regular" w:cs="Times New Roman Regular"/>
                <w:color w:val="000000"/>
                <w:sz w:val="24"/>
              </w:rPr>
            </w:pPr>
            <w:r>
              <w:rPr>
                <w:rFonts w:ascii="Times New Roman Regular" w:hAnsi="Times New Roman Regular" w:cs="Times New Roman Regular"/>
                <w:sz w:val="24"/>
                <w:szCs w:val="24"/>
              </w:rPr>
              <w:t xml:space="preserve">一体化政务服务平台电子印章系统运维服务</w:t>
            </w:r>
            <w:r/>
          </w:p>
        </w:tc>
        <w:tc>
          <w:tcPr>
            <w:tcBorders>
              <w:left w:val="single" w:color="auto" w:sz="4" w:space="0"/>
              <w:right w:val="single" w:color="auto" w:sz="4" w:space="0"/>
            </w:tcBorders>
            <w:tcMar>
              <w:left w:w="108" w:type="dxa"/>
              <w:top w:w="0" w:type="dxa"/>
              <w:right w:w="108" w:type="dxa"/>
              <w:bottom w:w="0" w:type="dxa"/>
            </w:tcMar>
            <w:tcW w:w="2790" w:type="dxa"/>
            <w:vAlign w:val="center"/>
            <w:vMerge w:val="continue"/>
            <w:textDirection w:val="lrTb"/>
            <w:noWrap w:val="false"/>
          </w:tcPr>
          <w:p>
            <w:pPr>
              <w:jc w:val="center"/>
              <w:spacing w:line="360" w:lineRule="auto"/>
              <w:rPr>
                <w:rFonts w:ascii="Times New Roman Regular" w:hAnsi="Times New Roman Regular" w:cs="Times New Roman Regular"/>
                <w:spacing w:val="-1"/>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pacing w:val="-1"/>
                <w:sz w:val="24"/>
                <w:szCs w:val="24"/>
              </w:rPr>
            </w:r>
            <w:r/>
          </w:p>
        </w:tc>
      </w:tr>
      <w:tr>
        <w:trPr>
          <w:trHeight w:val="291"/>
        </w:trPr>
        <w:tc>
          <w:tcPr>
            <w:tcBorders>
              <w:left w:val="single" w:color="auto" w:sz="4" w:space="0"/>
              <w:right w:val="single" w:color="auto" w:sz="4" w:space="0"/>
            </w:tcBorders>
            <w:tcMar>
              <w:left w:w="108" w:type="dxa"/>
              <w:top w:w="0" w:type="dxa"/>
              <w:right w:w="108" w:type="dxa"/>
              <w:bottom w:w="0" w:type="dxa"/>
            </w:tcMar>
            <w:tcW w:w="741" w:type="dxa"/>
            <w:vAlign w:val="center"/>
            <w:vMerge w:val="continue"/>
            <w:textDirection w:val="lrTb"/>
            <w:noWrap w:val="false"/>
          </w:tcPr>
          <w:p>
            <w:pPr>
              <w:jc w:val="center"/>
              <w:spacing w:line="360" w:lineRule="auto"/>
              <w:rPr>
                <w:rFonts w:ascii="Times New Roman Regular" w:hAnsi="Times New Roman Regular" w:cs="Times New Roman Regular"/>
                <w:color w:val="000000"/>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0" w:type="dxa"/>
            <w:vAlign w:val="center"/>
            <w:textDirection w:val="lrTb"/>
            <w:noWrap w:val="false"/>
          </w:tcPr>
          <w:p>
            <w:pPr>
              <w:jc w:val="center"/>
              <w:rPr>
                <w:rFonts w:ascii="Times New Roman Regular" w:hAnsi="Times New Roman Regular" w:cs="Times New Roman Regular"/>
                <w:color w:val="000000"/>
                <w:sz w:val="24"/>
              </w:rPr>
            </w:pPr>
            <w:r>
              <w:rPr>
                <w:rFonts w:ascii="Times New Roman Regular" w:hAnsi="Times New Roman Regular" w:cs="Times New Roman Regular"/>
                <w:sz w:val="24"/>
                <w:szCs w:val="24"/>
              </w:rPr>
              <w:t xml:space="preserve">扬州市政府门户网站内容保障运维服务</w:t>
            </w:r>
            <w:r/>
          </w:p>
        </w:tc>
        <w:tc>
          <w:tcPr>
            <w:tcBorders>
              <w:left w:val="single" w:color="auto" w:sz="4" w:space="0"/>
              <w:right w:val="single" w:color="auto" w:sz="4" w:space="0"/>
            </w:tcBorders>
            <w:tcMar>
              <w:left w:w="108" w:type="dxa"/>
              <w:top w:w="0" w:type="dxa"/>
              <w:right w:w="108" w:type="dxa"/>
              <w:bottom w:w="0" w:type="dxa"/>
            </w:tcMar>
            <w:tcW w:w="2790" w:type="dxa"/>
            <w:vAlign w:val="center"/>
            <w:vMerge w:val="continue"/>
            <w:textDirection w:val="lrTb"/>
            <w:noWrap w:val="false"/>
          </w:tcPr>
          <w:p>
            <w:pPr>
              <w:jc w:val="center"/>
              <w:spacing w:line="360" w:lineRule="auto"/>
              <w:rPr>
                <w:rFonts w:ascii="Times New Roman Regular" w:hAnsi="Times New Roman Regular" w:cs="Times New Roman Regular"/>
                <w:spacing w:val="-1"/>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pacing w:val="-1"/>
                <w:sz w:val="24"/>
                <w:szCs w:val="24"/>
              </w:rPr>
            </w:r>
            <w:r/>
          </w:p>
        </w:tc>
      </w:tr>
      <w:tr>
        <w:trPr>
          <w:trHeight w:val="291"/>
        </w:trPr>
        <w:tc>
          <w:tcPr>
            <w:tcBorders>
              <w:left w:val="single" w:color="auto" w:sz="4" w:space="0"/>
              <w:right w:val="single" w:color="auto" w:sz="4" w:space="0"/>
            </w:tcBorders>
            <w:tcMar>
              <w:left w:w="108" w:type="dxa"/>
              <w:top w:w="0" w:type="dxa"/>
              <w:right w:w="108" w:type="dxa"/>
              <w:bottom w:w="0" w:type="dxa"/>
            </w:tcMar>
            <w:tcW w:w="741" w:type="dxa"/>
            <w:vAlign w:val="center"/>
            <w:vMerge w:val="continue"/>
            <w:textDirection w:val="lrTb"/>
            <w:noWrap w:val="false"/>
          </w:tcPr>
          <w:p>
            <w:pPr>
              <w:jc w:val="center"/>
              <w:spacing w:line="360" w:lineRule="auto"/>
              <w:rPr>
                <w:rFonts w:ascii="Times New Roman Regular" w:hAnsi="Times New Roman Regular" w:cs="Times New Roman Regular"/>
                <w:color w:val="000000"/>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0" w:type="dxa"/>
            <w:vAlign w:val="center"/>
            <w:textDirection w:val="lrTb"/>
            <w:noWrap w:val="false"/>
          </w:tcPr>
          <w:p>
            <w:pPr>
              <w:jc w:val="center"/>
              <w:rPr>
                <w:rFonts w:ascii="Times New Roman Regular" w:hAnsi="Times New Roman Regular" w:cs="Times New Roman Regular"/>
                <w:color w:val="000000"/>
                <w:sz w:val="24"/>
              </w:rPr>
            </w:pPr>
            <w:r>
              <w:rPr>
                <w:rFonts w:ascii="Times New Roman Regular" w:hAnsi="Times New Roman Regular" w:cs="Times New Roman Regular"/>
                <w:sz w:val="24"/>
                <w:szCs w:val="24"/>
              </w:rPr>
              <w:t xml:space="preserve">扬州市公共资源交易平台系统运维服务</w:t>
            </w:r>
            <w:r/>
          </w:p>
        </w:tc>
        <w:tc>
          <w:tcPr>
            <w:tcBorders>
              <w:left w:val="single" w:color="auto" w:sz="4" w:space="0"/>
              <w:right w:val="single" w:color="auto" w:sz="4" w:space="0"/>
            </w:tcBorders>
            <w:tcMar>
              <w:left w:w="108" w:type="dxa"/>
              <w:top w:w="0" w:type="dxa"/>
              <w:right w:w="108" w:type="dxa"/>
              <w:bottom w:w="0" w:type="dxa"/>
            </w:tcMar>
            <w:tcW w:w="2790" w:type="dxa"/>
            <w:vAlign w:val="center"/>
            <w:vMerge w:val="continue"/>
            <w:textDirection w:val="lrTb"/>
            <w:noWrap w:val="false"/>
          </w:tcPr>
          <w:p>
            <w:pPr>
              <w:jc w:val="center"/>
              <w:spacing w:line="360" w:lineRule="auto"/>
              <w:rPr>
                <w:rFonts w:ascii="Times New Roman Regular" w:hAnsi="Times New Roman Regular" w:cs="Times New Roman Regular"/>
                <w:spacing w:val="-1"/>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pacing w:val="-1"/>
                <w:sz w:val="24"/>
                <w:szCs w:val="24"/>
              </w:rPr>
            </w:r>
            <w:r/>
          </w:p>
        </w:tc>
      </w:tr>
      <w:tr>
        <w:trPr>
          <w:trHeight w:val="291"/>
        </w:trPr>
        <w:tc>
          <w:tcPr>
            <w:tcBorders>
              <w:left w:val="single" w:color="auto" w:sz="4" w:space="0"/>
              <w:bottom w:val="single" w:color="auto" w:sz="4" w:space="0"/>
              <w:right w:val="single" w:color="auto" w:sz="4" w:space="0"/>
            </w:tcBorders>
            <w:tcMar>
              <w:left w:w="108" w:type="dxa"/>
              <w:top w:w="0" w:type="dxa"/>
              <w:right w:w="108" w:type="dxa"/>
              <w:bottom w:w="0" w:type="dxa"/>
            </w:tcMar>
            <w:tcW w:w="741" w:type="dxa"/>
            <w:vAlign w:val="center"/>
            <w:vMerge w:val="continue"/>
            <w:textDirection w:val="lrTb"/>
            <w:noWrap w:val="false"/>
          </w:tcPr>
          <w:p>
            <w:pPr>
              <w:jc w:val="center"/>
              <w:spacing w:line="360" w:lineRule="auto"/>
              <w:rPr>
                <w:rFonts w:ascii="Times New Roman Regular" w:hAnsi="Times New Roman Regular" w:cs="Times New Roman Regular"/>
                <w:color w:val="000000"/>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color w:val="000000"/>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0" w:type="dxa"/>
            <w:vAlign w:val="center"/>
            <w:textDirection w:val="lrTb"/>
            <w:noWrap w:val="false"/>
          </w:tcPr>
          <w:p>
            <w:pPr>
              <w:jc w:val="center"/>
              <w:rPr>
                <w:rFonts w:ascii="Times New Roman Regular" w:hAnsi="Times New Roman Regular" w:cs="Times New Roman Regular"/>
                <w:color w:val="000000"/>
                <w:sz w:val="24"/>
              </w:rPr>
            </w:pPr>
            <w:r>
              <w:rPr>
                <w:rFonts w:ascii="Times New Roman Regular" w:hAnsi="Times New Roman Regular" w:cs="Times New Roman Regular"/>
                <w:sz w:val="24"/>
                <w:szCs w:val="24"/>
              </w:rPr>
              <w:t xml:space="preserve">扬州市国家电子营业执照应用服务系统运维服务</w:t>
            </w:r>
            <w:r/>
          </w:p>
        </w:tc>
        <w:tc>
          <w:tcPr>
            <w:tcBorders>
              <w:left w:val="single" w:color="auto" w:sz="4" w:space="0"/>
              <w:bottom w:val="single" w:color="auto" w:sz="4" w:space="0"/>
              <w:right w:val="single" w:color="auto" w:sz="4" w:space="0"/>
            </w:tcBorders>
            <w:tcMar>
              <w:left w:w="108" w:type="dxa"/>
              <w:top w:w="0" w:type="dxa"/>
              <w:right w:w="108" w:type="dxa"/>
              <w:bottom w:w="0" w:type="dxa"/>
            </w:tcMar>
            <w:tcW w:w="2790" w:type="dxa"/>
            <w:vAlign w:val="center"/>
            <w:vMerge w:val="continue"/>
            <w:textDirection w:val="lrTb"/>
            <w:noWrap w:val="false"/>
          </w:tcPr>
          <w:p>
            <w:pPr>
              <w:jc w:val="center"/>
              <w:spacing w:line="360" w:lineRule="auto"/>
              <w:rPr>
                <w:rFonts w:ascii="Times New Roman Regular" w:hAnsi="Times New Roman Regular" w:cs="Times New Roman Regular"/>
                <w:spacing w:val="-1"/>
                <w:sz w:val="24"/>
                <w:szCs w:val="24"/>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spacing w:val="-1"/>
                <w:sz w:val="24"/>
                <w:szCs w:val="24"/>
              </w:rPr>
            </w:r>
            <w:r/>
          </w:p>
        </w:tc>
      </w:tr>
    </w:tbl>
    <w:p>
      <w:pPr>
        <w:rPr>
          <w:rFonts w:ascii="Times New Roman Regular" w:hAnsi="Times New Roman Regular" w:cs="Times New Roman Regular"/>
        </w:rPr>
        <w:pBdr>
          <w:top w:val="none" w:color="000000" w:sz="0" w:space="0"/>
          <w:left w:val="none" w:color="000000" w:sz="0" w:space="0"/>
          <w:bottom w:val="none" w:color="000000" w:sz="0" w:space="0"/>
          <w:right w:val="none" w:color="000000" w:sz="0" w:space="0"/>
        </w:pBdr>
      </w:pPr>
      <w:r>
        <w:rPr>
          <w:rFonts w:ascii="Times New Roman Regular" w:hAnsi="Times New Roman Regular" w:eastAsia="Times New Roman" w:cs="Times New Roman Regular"/>
          <w:color w:val="000000"/>
        </w:rPr>
        <w:t xml:space="preserve"> </w:t>
      </w:r>
      <w:r/>
    </w:p>
    <w:p>
      <w:pPr>
        <w:rPr>
          <w:rFonts w:ascii="Times New Roman Regular" w:hAnsi="Times New Roman Regular" w:eastAsia="Arial" w:cs="Times New Roman Regular"/>
          <w:sz w:val="30"/>
          <w:szCs w:val="30"/>
        </w:rPr>
        <w:pBdr>
          <w:top w:val="none" w:color="000000" w:sz="0" w:space="0"/>
          <w:left w:val="none" w:color="000000" w:sz="0" w:space="0"/>
          <w:bottom w:val="none" w:color="000000" w:sz="0" w:space="0"/>
          <w:right w:val="none" w:color="000000" w:sz="0" w:space="0"/>
        </w:pBdr>
      </w:pPr>
      <w:r>
        <w:rPr>
          <w:rFonts w:ascii="Times New Roman Regular" w:hAnsi="Times New Roman Regular" w:cs="Times New Roman Regular"/>
          <w:b/>
          <w:color w:val="000000"/>
          <w:sz w:val="24"/>
        </w:rPr>
        <w:t xml:space="preserve">二、技术要求</w:t>
      </w:r>
      <w:r/>
    </w:p>
    <w:p>
      <w:pPr>
        <w:keepLines/>
        <w:keepNext/>
        <w:spacing w:before="320" w:after="200"/>
        <w:rPr>
          <w:rFonts w:ascii="Times New Roman Regular" w:hAnsi="Times New Roman Regular" w:cs="Times New Roman Regular"/>
          <w:b/>
          <w:bCs/>
          <w:sz w:val="24"/>
          <w:szCs w:val="24"/>
        </w:rPr>
        <w:outlineLvl w:val="1"/>
      </w:pPr>
      <w:r>
        <w:rPr>
          <w:rFonts w:ascii="Times New Roman Regular" w:hAnsi="Times New Roman Regular" w:cs="Times New Roman Regular"/>
          <w:b/>
          <w:bCs/>
          <w:sz w:val="24"/>
          <w:szCs w:val="24"/>
        </w:rPr>
        <w:t xml:space="preserve">（一）项目概况</w:t>
      </w:r>
      <w:r/>
    </w:p>
    <w:p>
      <w:pPr>
        <w:ind w:firstLine="420"/>
        <w:spacing w:line="360" w:lineRule="auto"/>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1.1 项目背景</w:t>
      </w:r>
      <w:r/>
    </w:p>
    <w:p>
      <w:pPr>
        <w:ind w:firstLine="420"/>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随着政府数字化转型、数智赋能行动的推进，越来越多的数字应用连接平台，对平台的依赖也将越来越高，平台的安全性、稳定性愈加重要。尤其是综合集成、多方参与的多跨场景应用，系统之间相互嵌入互为依赖，运行的环境越来越复杂</w:t>
      </w:r>
      <w:r>
        <w:rPr>
          <w:rFonts w:ascii="Times New Roman Regular" w:hAnsi="Times New Roman Regular" w:cs="Times New Roman Regular"/>
          <w:sz w:val="24"/>
          <w:szCs w:val="24"/>
        </w:rPr>
        <w:t xml:space="preserve">，对安全性和稳定型将提出重大挑战。因此，为巩固和提升“一网通办、一网统管”建设成果，保障扬州市数字化项目的稳定可靠运行，加强扬州市的“数字化保障力”，并落实《扬州市市级政务信息化项目管理办法》中关于“探索‘统一实施、统一运维’模式”的要求，启动本统一运维服务项目具有迫切的现实必要性和重要的战略意义。在保障业务系统平稳运行的情况下，本项目拟尝试探索“流程贯通、资源集约、响应敏捷”的现代化运维体系，是扬州市一体化运维模式新的尝试与探索，拟为全市数字政府建设和全域数字化转型提供坚实、可靠、高效的统一技术运营保障。</w:t>
      </w:r>
      <w:r/>
    </w:p>
    <w:p>
      <w:pPr>
        <w:ind w:firstLine="420"/>
        <w:spacing w:line="360" w:lineRule="auto"/>
        <w:rPr>
          <w:rFonts w:ascii="Times New Roman Regular" w:hAnsi="Times New Roman Regular" w:cs="Times New Roman Regular"/>
          <w:sz w:val="24"/>
          <w:szCs w:val="24"/>
        </w:rPr>
      </w:pPr>
      <w:r>
        <w:rPr>
          <w:rFonts w:ascii="Times New Roman Regular" w:hAnsi="Times New Roman Regular" w:cs="Times New Roman Regular"/>
          <w:b/>
          <w:bCs/>
          <w:sz w:val="24"/>
          <w:szCs w:val="24"/>
        </w:rPr>
        <w:t xml:space="preserve">1.2 服务内容</w:t>
      </w:r>
      <w:r/>
    </w:p>
    <w:p>
      <w:pPr>
        <w:ind w:firstLine="420"/>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本项目采购内容为</w:t>
      </w:r>
      <w:r>
        <w:rPr>
          <w:rFonts w:hint="eastAsia" w:ascii="Times New Roman Regular" w:hAnsi="Times New Roman Regular" w:cs="Times New Roman Regular"/>
          <w:sz w:val="24"/>
          <w:szCs w:val="24"/>
        </w:rPr>
        <w:t xml:space="preserve">扬州市</w:t>
      </w:r>
      <w:r>
        <w:rPr>
          <w:rFonts w:ascii="Times New Roman Regular" w:hAnsi="Times New Roman Regular" w:cs="Times New Roman Regular"/>
          <w:sz w:val="24"/>
          <w:szCs w:val="24"/>
        </w:rPr>
        <w:t xml:space="preserve">数据局信息系统2026年统一运维服务，根据各系统不同的运维要求，提供日常业务保障、运维保障、巡检维护、日志监控、故障处理、漏洞修复及驻场服务等工作；同时以数据局政务系统为试点</w:t>
      </w:r>
      <w:r>
        <w:rPr>
          <w:rFonts w:hint="eastAsia" w:ascii="Times New Roman Regular" w:hAnsi="Times New Roman Regular" w:cs="Times New Roman Regular"/>
          <w:sz w:val="24"/>
          <w:szCs w:val="24"/>
        </w:rPr>
        <w:t xml:space="preserve">，依托扬州市一体化数字资源底座</w:t>
      </w:r>
      <w:r>
        <w:rPr>
          <w:rFonts w:ascii="Times New Roman Regular" w:hAnsi="Times New Roman Regular" w:cs="Times New Roman Regular"/>
          <w:sz w:val="24"/>
          <w:szCs w:val="24"/>
        </w:rPr>
        <w:t xml:space="preserve">，探索“智慧监管、统一运维”的一体化、标准化运维管理体系，实现从“分散运维、被动响应”向“集中管控、主动服务”运维模式的转变。</w:t>
      </w:r>
      <w:r/>
    </w:p>
    <w:p>
      <w:pPr>
        <w:keepLines/>
        <w:keepNext/>
        <w:spacing w:before="320" w:after="200"/>
        <w:rPr>
          <w:rFonts w:ascii="Times New Roman Regular" w:hAnsi="Times New Roman Regular" w:cs="Times New Roman Regular"/>
          <w:b/>
          <w:bCs/>
          <w:sz w:val="24"/>
          <w:szCs w:val="24"/>
        </w:rPr>
        <w:outlineLvl w:val="1"/>
      </w:pPr>
      <w:r>
        <w:rPr>
          <w:rFonts w:ascii="Times New Roman Regular" w:hAnsi="Times New Roman Regular" w:cs="Times New Roman Regular"/>
          <w:b/>
          <w:bCs/>
          <w:sz w:val="24"/>
          <w:szCs w:val="24"/>
        </w:rPr>
        <w:t xml:space="preserve">（二）服务清单</w:t>
      </w:r>
      <w:r/>
    </w:p>
    <w:p>
      <w:pPr>
        <w:ind w:firstLine="420"/>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本项目主要服务清单如下表所示：</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4593"/>
        <w:gridCol w:w="3296"/>
      </w:tblGrid>
      <w:tr>
        <w:trPr/>
        <w:tc>
          <w:tcPr>
            <w:tcW w:w="1055" w:type="dxa"/>
            <w:vAlign w:val="center"/>
            <w:textDirection w:val="lrTb"/>
            <w:noWrap w:val="false"/>
          </w:tcPr>
          <w:p>
            <w:pPr>
              <w:jc w:val="cente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序号</w:t>
            </w:r>
            <w:r/>
          </w:p>
        </w:tc>
        <w:tc>
          <w:tcPr>
            <w:tcW w:w="4593" w:type="dxa"/>
            <w:vAlign w:val="center"/>
            <w:textDirection w:val="lrTb"/>
            <w:noWrap w:val="false"/>
          </w:tcPr>
          <w:p>
            <w:pPr>
              <w:jc w:val="cente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名称</w:t>
            </w:r>
            <w:r/>
          </w:p>
        </w:tc>
        <w:tc>
          <w:tcPr>
            <w:tcW w:w="3296" w:type="dxa"/>
            <w:vAlign w:val="center"/>
            <w:textDirection w:val="lrTb"/>
            <w:noWrap w:val="false"/>
          </w:tcPr>
          <w:p>
            <w:pPr>
              <w:jc w:val="center"/>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服务类型</w:t>
            </w:r>
            <w:r/>
          </w:p>
        </w:tc>
      </w:tr>
      <w:tr>
        <w:trPr>
          <w:trHeight w:val="806"/>
        </w:trPr>
        <w:tc>
          <w:tcPr>
            <w:tcW w:w="1055" w:type="dxa"/>
            <w:vAlign w:val="center"/>
            <w:vMerge w:val="restart"/>
            <w:textDirection w:val="lrTb"/>
            <w:noWrap w:val="false"/>
          </w:tcPr>
          <w:p>
            <w:pPr>
              <w:numPr>
                <w:ilvl w:val="0"/>
                <w:numId w:val="4"/>
              </w:numPr>
              <w:ind w:firstLine="0"/>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vMerge w:val="restart"/>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扬州市党政工作平台运维服务</w:t>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系统运维服务</w:t>
            </w:r>
            <w:r/>
          </w:p>
        </w:tc>
      </w:tr>
      <w:tr>
        <w:trPr/>
        <w:tc>
          <w:tcPr>
            <w:tcW w:w="1055" w:type="dxa"/>
            <w:vAlign w:val="center"/>
            <w:vMerge w:val="continue"/>
            <w:textDirection w:val="lrTb"/>
            <w:noWrap w:val="false"/>
          </w:tcPr>
          <w:p>
            <w:pP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vMerge w:val="continue"/>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短信服务</w:t>
            </w:r>
            <w:r/>
          </w:p>
        </w:tc>
      </w:tr>
      <w:tr>
        <w:trPr/>
        <w:tc>
          <w:tcPr>
            <w:tcW w:w="1055" w:type="dxa"/>
            <w:vAlign w:val="center"/>
            <w:textDirection w:val="lrTb"/>
            <w:noWrap w:val="false"/>
          </w:tcPr>
          <w:p>
            <w:pPr>
              <w:numPr>
                <w:ilvl w:val="0"/>
                <w:numId w:val="4"/>
              </w:numPr>
              <w:ind w:firstLine="0"/>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扬州市房建市政交易7.0系统运维服务</w:t>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系统运维服务</w:t>
            </w:r>
            <w:r/>
          </w:p>
        </w:tc>
      </w:tr>
      <w:tr>
        <w:trPr/>
        <w:tc>
          <w:tcPr>
            <w:tcW w:w="1055" w:type="dxa"/>
            <w:vAlign w:val="center"/>
            <w:vMerge w:val="restart"/>
            <w:textDirection w:val="lrTb"/>
            <w:noWrap w:val="false"/>
          </w:tcPr>
          <w:p>
            <w:pPr>
              <w:numPr>
                <w:ilvl w:val="0"/>
                <w:numId w:val="4"/>
              </w:numPr>
              <w:ind w:firstLine="0"/>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vMerge w:val="restart"/>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一体化政务服务平台电子印章系统运维服务</w:t>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系统运维服务</w:t>
            </w:r>
            <w:r/>
          </w:p>
        </w:tc>
      </w:tr>
      <w:tr>
        <w:trPr/>
        <w:tc>
          <w:tcPr>
            <w:tcW w:w="1055" w:type="dxa"/>
            <w:vAlign w:val="center"/>
            <w:vMerge w:val="continue"/>
            <w:textDirection w:val="lrTb"/>
            <w:noWrap w:val="false"/>
          </w:tcPr>
          <w:p>
            <w:pP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vMerge w:val="continue"/>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证书采购服务</w:t>
            </w:r>
            <w:r/>
          </w:p>
        </w:tc>
      </w:tr>
      <w:tr>
        <w:trPr/>
        <w:tc>
          <w:tcPr>
            <w:tcW w:w="1055" w:type="dxa"/>
            <w:vAlign w:val="center"/>
            <w:vMerge w:val="restart"/>
            <w:textDirection w:val="lrTb"/>
            <w:noWrap w:val="false"/>
          </w:tcPr>
          <w:p>
            <w:pPr>
              <w:numPr>
                <w:ilvl w:val="0"/>
                <w:numId w:val="4"/>
              </w:numPr>
              <w:ind w:firstLine="0"/>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vMerge w:val="restart"/>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扬州市政府门户网站内容保障运维服务</w:t>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业务保障服务</w:t>
            </w:r>
            <w:r/>
          </w:p>
        </w:tc>
      </w:tr>
      <w:tr>
        <w:trPr/>
        <w:tc>
          <w:tcPr>
            <w:tcW w:w="1055" w:type="dxa"/>
            <w:vAlign w:val="center"/>
            <w:vMerge w:val="continue"/>
            <w:textDirection w:val="lrTb"/>
            <w:noWrap w:val="false"/>
          </w:tcPr>
          <w:p>
            <w:pP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vMerge w:val="continue"/>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网站群数字证书（SSL证书）服务</w:t>
            </w:r>
            <w:r/>
          </w:p>
        </w:tc>
      </w:tr>
      <w:tr>
        <w:trPr/>
        <w:tc>
          <w:tcPr>
            <w:tcW w:w="1055" w:type="dxa"/>
            <w:vAlign w:val="center"/>
            <w:textDirection w:val="lrTb"/>
            <w:noWrap w:val="false"/>
          </w:tcPr>
          <w:p>
            <w:pPr>
              <w:numPr>
                <w:ilvl w:val="0"/>
                <w:numId w:val="4"/>
              </w:numPr>
              <w:ind w:firstLine="0"/>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扬州市公共资源交易平台系统运维服务</w:t>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系统运维服务</w:t>
            </w:r>
            <w:r/>
          </w:p>
        </w:tc>
      </w:tr>
      <w:tr>
        <w:trPr/>
        <w:tc>
          <w:tcPr>
            <w:tcW w:w="1055" w:type="dxa"/>
            <w:vAlign w:val="center"/>
            <w:textDirection w:val="lrTb"/>
            <w:noWrap w:val="false"/>
          </w:tcPr>
          <w:p>
            <w:pPr>
              <w:numPr>
                <w:ilvl w:val="0"/>
                <w:numId w:val="4"/>
              </w:numPr>
              <w:ind w:firstLine="0"/>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4593"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扬州市国家电子营业执照应用服务系统运维服务</w:t>
            </w:r>
            <w:r/>
          </w:p>
        </w:tc>
        <w:tc>
          <w:tcPr>
            <w:tcW w:w="3296" w:type="dxa"/>
            <w:vAlign w:val="center"/>
            <w:textDirection w:val="lrTb"/>
            <w:noWrap w:val="false"/>
          </w:tcPr>
          <w:p>
            <w:pPr>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系统运维服务</w:t>
            </w:r>
            <w:r/>
          </w:p>
        </w:tc>
      </w:tr>
    </w:tbl>
    <w:p>
      <w:pPr>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r>
      <w:r/>
    </w:p>
    <w:p>
      <w:pPr>
        <w:keepLines/>
        <w:keepNext/>
        <w:spacing w:before="320" w:after="200"/>
        <w:rPr>
          <w:rFonts w:ascii="Times New Roman Regular" w:hAnsi="Times New Roman Regular" w:cs="Times New Roman Regular"/>
          <w:b/>
          <w:bCs/>
          <w:sz w:val="24"/>
          <w:szCs w:val="24"/>
        </w:rPr>
        <w:outlineLvl w:val="1"/>
      </w:pPr>
      <w:r/>
      <w:bookmarkStart w:id="0" w:name="_Toc108509226"/>
      <w:r/>
      <w:bookmarkStart w:id="1" w:name="_Toc113549626"/>
      <w:r>
        <w:rPr>
          <w:rFonts w:ascii="Times New Roman Regular" w:hAnsi="Times New Roman Regular" w:cs="Times New Roman Regular"/>
          <w:b/>
          <w:bCs/>
          <w:sz w:val="24"/>
          <w:szCs w:val="24"/>
        </w:rPr>
        <w:t xml:space="preserve">（三）服务内容要求</w:t>
      </w:r>
      <w:r/>
    </w:p>
    <w:p>
      <w:pPr>
        <w:jc w:val="left"/>
        <w:spacing w:before="240" w:after="240" w:line="400" w:lineRule="exact"/>
        <w:rPr>
          <w:rFonts w:ascii="Times New Roman Regular" w:hAnsi="Times New Roman Regular" w:cs="Times New Roman Regular"/>
          <w:b/>
          <w:bCs/>
          <w:color w:val="000000"/>
          <w:sz w:val="24"/>
          <w:szCs w:val="24"/>
        </w:rPr>
        <w:outlineLvl w:val="2"/>
      </w:pPr>
      <w:r>
        <w:rPr>
          <w:rFonts w:ascii="Times New Roman Regular" w:hAnsi="Times New Roman Regular" w:cs="Times New Roman Regular"/>
          <w:b/>
          <w:bCs/>
          <w:color w:val="000000"/>
          <w:sz w:val="24"/>
          <w:szCs w:val="24"/>
        </w:rPr>
        <w:t xml:space="preserve">3.1 扬州市党政工作平台运维服务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服务内容主要包括软件运维服务与短信服务，提供全面的项目情况分析，以及完善的运维管理方案、应急保障方案、信息安全保障方案，确保扬州市党政工作平台的高可用性、安全性和稳定性，支持全市各级党政机关的高效办公和信息共享。</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3.1.1 系统运维服务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1、巡检服务：要求规范运维管理，每日进行3次巡检，涵盖现有的服务器状态、网络连接和应用服务的可用性、关键指标的稳定性，以及相关接口服务的稳定性等，按要求填写相关记录表。</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2、性能调优服务：提供全面的性能调优服务，根据监控数据和系统日志，通过多维度的优化策略，分析系统性能瓶颈，进行优化调整，提供性调优记录。</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现场保障服务：要求规范运维管理。提供全面的现场保障服务。驻场运维工作主要负责全市各级党政机关（部门），包括但不限于943家部门和10000多个用户的现场保障服务。重点市直部门（包括但不限于已推广单位等）、各县（市、区）和功能区每月至少上门回访2次，填写相关记录表。</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技术支持服务：要求提供现有平台功能的技术支持服务和专业接口支持，涵盖功能设计、开发、测试和维护API接口等。负责已接入平台的应用接口支持，包括统一认证、应用接入、用户同步、文件归档等API接口的稳定运行。帮助其他系统高效利用接口，实现系统集成、提升用户体验和促进技术协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5、应急保障服务：要求在重大活动、节假日及其他重保时期，安排专人值班值守，确保系统安全稳定运行。根据中心应急预案，协助做好应急演练等。驻场技术人员针对建设单位重点用户提供一对一保障服务。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6、数据服务：要求规范运维管理。提供全面的数据维护与配置服务、数据分析服务、数据备份与恢复等，确保组织人员、权限角色等数据的准确性和时效性；确保用户只能访问其职责范围内的数据，保障数据的安全性和隐私性；根据业务需求灵活调整表单和流程配置，提升业务处理效率和用户体验；定期进行数据的备份，并保证备份数据的安全性和可恢复性；根据相关部门要求进行数据的收集和分析，为平台的高效运行、功能改进和决策支持提供依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7、短信接口与服务运维：要求规范运维管理。保障统一短信服务合规、安全和稳定，实现短信平台可视化运维，确保用户指定号码（包括移动、电信、联通号码）进行短信批量发送和自定义发送，保障标准短信接口供第三方系统调用，及三大运营商的短信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8、应用推广指导：要求提供全面的应用推广指导服务，涵盖新功能推广、用户培训、需求调研等多个方面。根据《推广指导方案》负责平台的新功能推广和用户指导，涉及使用单位的应用需求调研、业务场景搭建、测试、培训、出行交通、材料等。</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9、功能优化提升：要求根据需求和安全要求对现有功能进行改进和更新，以提高性能、增强功能、修复缺陷和提升用户体验。包括代码重构、算法优化、界面改进、安全加固和兼容性增强。</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10、安全自查服务：要求按照安全管理制度每月自行开展安全检查、隐患排查及整改等，出具相关自查报告；每季度协助出具平台季度网络安全自查报告。</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11、应用侧安全加固：针对信息系统在应用层面进行的全面安全防护措施，旨在通过技术手段和管理策略，提升系统的安全性和稳定性，有效防范因漏洞、配置不当或恶意攻击行为导致的安全风险。包括漏洞修复、配置优化、安全防护、代码混淆与加密、完整性校验、兼容性与稳定性保障等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12、安全测评支持服务：要求根据等保测评、代码审计、风险评估等结果和发现的问题，进行相应的整改支持。包括服务组织保障、合规性检验、测评过程支持等工作。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13、程序版本控制：要求规范管理党政平台的程序、APP、接口等版本，包括新功能的部署、现有功能的更新和缺陷修复，确保软件版本的稳定性和兼容性。包括版本发布管理、代码审查自查、多平台兼容性、API和APP版本控制等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14、邮箱系统运维服务：要求确保mail.yangzhou.gov.cn邮箱系统的稳定运行与安全，防范外部攻击与内部泄露风险。通过全面的安全检查、漏洞扫描、风险评估及优化建议，提升邮箱系统的整体安全防护能力。</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15、“苏在线”配合服务：要求服务期内按照采购人需要，无条件做好现有平台与“苏在线”平台的对接工作。</w:t>
      </w:r>
      <w:r/>
    </w:p>
    <w:p>
      <w:pPr>
        <w:pStyle w:val="726"/>
        <w:numPr>
          <w:ilvl w:val="2"/>
          <w:numId w:val="0"/>
        </w:numPr>
        <w:ind w:left="629"/>
        <w:spacing w:before="181" w:after="181"/>
        <w:rPr>
          <w:rFonts w:ascii="Times New Roman Regular" w:hAnsi="Times New Roman Regular" w:eastAsia="宋体" w:cs="Times New Roman Regular"/>
          <w:sz w:val="24"/>
          <w:szCs w:val="24"/>
        </w:rPr>
        <w:outlineLvl w:val="3"/>
      </w:pPr>
      <w:r>
        <w:rPr>
          <w:rFonts w:ascii="Times New Roman Regular" w:hAnsi="Times New Roman Regular" w:eastAsia="宋体" w:cs="Times New Roman Regular"/>
          <w:sz w:val="24"/>
          <w:szCs w:val="24"/>
        </w:rPr>
        <w:t xml:space="preserve">3.1.2 运维形式与响应要求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1、运维服务期内采取人员驻场和技术支援组相结合的运维服务形式：</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（1）配置专职驻场技术人员不低于</w:t>
      </w:r>
      <w:r>
        <w:rPr>
          <w:rFonts w:hint="eastAsia" w:ascii="Times New Roman Regular" w:hAnsi="Times New Roman Regular" w:cs="Times New Roman Regular"/>
          <w:color w:val="000000"/>
          <w:sz w:val="24"/>
          <w:szCs w:val="24"/>
        </w:rPr>
        <w:t xml:space="preserve">6</w:t>
      </w:r>
      <w:r>
        <w:rPr>
          <w:rFonts w:ascii="Times New Roman Regular" w:hAnsi="Times New Roman Regular" w:cs="Times New Roman Regular"/>
          <w:color w:val="000000"/>
          <w:sz w:val="24"/>
          <w:szCs w:val="24"/>
        </w:rPr>
        <w:t xml:space="preserve">名。</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应设立技术支援组，当驻场技术人员无法解决出现的问题时，技术支援组须通过电话或远程访问等方式进行系统故障的处理、技术支持、咨询服务等工作。在技术支援组远程运维不能解决问题的情况下，需在24小时内安排专业开发人员提供现场技术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2、针对平台的软硬件产品，要求提供7×24小时现场故障处理服务。故障处理完成后，运维团队将在</w:t>
      </w:r>
      <w:r>
        <w:rPr>
          <w:rFonts w:hint="eastAsia" w:ascii="Times New Roman Regular" w:hAnsi="Times New Roman Regular" w:cs="Times New Roman Regular"/>
          <w:color w:val="000000"/>
          <w:sz w:val="24"/>
          <w:szCs w:val="24"/>
          <w:lang w:val="en-US" w:eastAsia="zh-CN"/>
        </w:rPr>
        <w:t xml:space="preserve">48</w:t>
      </w:r>
      <w:r>
        <w:rPr>
          <w:rFonts w:ascii="Times New Roman Regular" w:hAnsi="Times New Roman Regular" w:cs="Times New Roman Regular"/>
          <w:color w:val="000000"/>
          <w:sz w:val="24"/>
          <w:szCs w:val="24"/>
        </w:rPr>
        <w:t xml:space="preserve">小时内出具详细的故障处理报告，报告内容包括故障原因、处理过程及后续预防措施，为平台的长期稳定运行提供有力保障。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故障排查与处置：要求规范运维管理。根据用户反馈和主动巡检发现，为用户提供7x24小时专业的故障排查与处置服务，定位问题原因，并采取措施进行修复。故障响应时间不超过1小时，并在4小时内完成故障处理。</w:t>
      </w:r>
      <w:r/>
    </w:p>
    <w:p>
      <w:pPr>
        <w:ind w:firstLine="480"/>
        <w:jc w:val="left"/>
        <w:spacing w:line="400" w:lineRule="exact"/>
        <w:rPr>
          <w:rFonts w:hint="default" w:ascii="Times New Roman Regular" w:hAnsi="Times New Roman Regular" w:eastAsia="宋体" w:cs="Times New Roman Regular"/>
          <w:color w:val="000000"/>
          <w:sz w:val="24"/>
          <w:szCs w:val="24"/>
        </w:rPr>
      </w:pPr>
      <w:r>
        <w:rPr>
          <w:rFonts w:ascii="Times New Roman Regular" w:hAnsi="Times New Roman Regular" w:cs="Times New Roman Regular"/>
          <w:color w:val="000000"/>
          <w:sz w:val="24"/>
          <w:szCs w:val="24"/>
        </w:rPr>
        <w:t xml:space="preserve">4、</w:t>
      </w:r>
      <w:r>
        <w:rPr>
          <w:rFonts w:hint="default" w:ascii="Times New Roman Regular" w:hAnsi="Times New Roman Regular" w:eastAsia="宋体" w:cs="Times New Roman Regular"/>
          <w:color w:val="000000"/>
          <w:sz w:val="24"/>
          <w:szCs w:val="24"/>
        </w:rPr>
        <w:t xml:space="preserve">建立分级故障处理机制（P1-P3级），提供7*24小时故障处理服务，明确各级故障的响应时限和解决时限。</w:t>
      </w:r>
      <w:r/>
    </w:p>
    <w:p>
      <w:pPr>
        <w:ind w:firstLine="480"/>
        <w:jc w:val="left"/>
        <w:spacing w:line="400" w:lineRule="exact"/>
        <w:rPr>
          <w:rFonts w:hint="default" w:ascii="Times New Roman Regular" w:hAnsi="Times New Roman Regular" w:eastAsia="宋体" w:cs="Times New Roman Regular"/>
          <w:color w:val="000000"/>
          <w:sz w:val="24"/>
          <w:szCs w:val="24"/>
        </w:rPr>
      </w:pPr>
      <w:r>
        <w:rPr>
          <w:rFonts w:hint="default" w:ascii="Times New Roman Regular" w:hAnsi="Times New Roman Regular" w:eastAsia="宋体" w:cs="Times New Roman Regular"/>
          <w:color w:val="000000"/>
          <w:sz w:val="24"/>
          <w:szCs w:val="24"/>
        </w:rPr>
        <w:t xml:space="preserve">P1级故障（全业务中断）：15分钟内响应，1小时内定位故障，2小时内恢复。</w:t>
      </w:r>
      <w:r/>
    </w:p>
    <w:p>
      <w:pPr>
        <w:ind w:firstLine="480"/>
        <w:jc w:val="left"/>
        <w:spacing w:line="400" w:lineRule="exact"/>
        <w:rPr>
          <w:rFonts w:hint="default" w:ascii="Times New Roman Regular" w:hAnsi="Times New Roman Regular" w:eastAsia="宋体" w:cs="Times New Roman Regular"/>
          <w:color w:val="000000"/>
          <w:sz w:val="24"/>
          <w:szCs w:val="24"/>
        </w:rPr>
      </w:pPr>
      <w:r>
        <w:rPr>
          <w:rFonts w:hint="default" w:ascii="Times New Roman Regular" w:hAnsi="Times New Roman Regular" w:eastAsia="宋体" w:cs="Times New Roman Regular"/>
          <w:color w:val="000000"/>
          <w:sz w:val="24"/>
          <w:szCs w:val="24"/>
        </w:rPr>
        <w:t xml:space="preserve">P2级故障（部分业务中断）：30分钟内响应，2小时内定位故障，3小时内恢复。</w:t>
      </w:r>
      <w:r/>
    </w:p>
    <w:p>
      <w:pPr>
        <w:ind w:firstLine="480"/>
        <w:jc w:val="left"/>
        <w:spacing w:line="400" w:lineRule="exact"/>
        <w:rPr>
          <w:rFonts w:hint="default" w:ascii="Times New Roman Regular" w:hAnsi="Times New Roman Regular" w:eastAsia="宋体" w:cs="Times New Roman Regular"/>
          <w:color w:val="000000"/>
          <w:sz w:val="24"/>
          <w:szCs w:val="24"/>
        </w:rPr>
      </w:pPr>
      <w:r>
        <w:rPr>
          <w:rFonts w:hint="default" w:ascii="Times New Roman Regular" w:hAnsi="Times New Roman Regular" w:eastAsia="宋体" w:cs="Times New Roman Regular"/>
          <w:color w:val="000000"/>
          <w:sz w:val="24"/>
          <w:szCs w:val="24"/>
        </w:rPr>
        <w:t xml:space="preserve">P3级故障（非关键功能异常）：1小时内响应，3小时内定位故障，4小时内恢复。</w:t>
      </w:r>
      <w:r/>
    </w:p>
    <w:p>
      <w:pPr>
        <w:ind w:firstLine="480"/>
        <w:jc w:val="left"/>
        <w:spacing w:line="400" w:lineRule="exact"/>
      </w:pPr>
      <w:r>
        <w:rPr>
          <w:rFonts w:hint="default" w:ascii="Times New Roman Regular" w:hAnsi="Times New Roman Regular" w:eastAsia="宋体" w:cs="Times New Roman Regular"/>
          <w:color w:val="000000"/>
          <w:sz w:val="24"/>
          <w:szCs w:val="24"/>
        </w:rPr>
        <w:t xml:space="preserve">故障解决后应在48小时内提交复盘报告，包含根因分析、改进措施及整改时限。</w:t>
      </w:r>
      <w:r/>
    </w:p>
    <w:p>
      <w:pPr>
        <w:jc w:val="left"/>
        <w:spacing w:before="240" w:after="240" w:line="400" w:lineRule="exact"/>
        <w:rPr>
          <w:rFonts w:ascii="Times New Roman Regular" w:hAnsi="Times New Roman Regular" w:cs="Times New Roman Regular"/>
          <w:b/>
          <w:bCs/>
          <w:color w:val="000000"/>
          <w:sz w:val="24"/>
          <w:szCs w:val="24"/>
        </w:rPr>
        <w:outlineLvl w:val="2"/>
      </w:pPr>
      <w:r>
        <w:rPr>
          <w:rFonts w:ascii="Times New Roman Regular" w:hAnsi="Times New Roman Regular" w:cs="Times New Roman Regular"/>
          <w:b/>
          <w:bCs/>
          <w:color w:val="000000"/>
          <w:sz w:val="24"/>
          <w:szCs w:val="24"/>
        </w:rPr>
        <w:t xml:space="preserve">3.2 扬州市房建市政交易7.0系统运维服务</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3.2.1 系统运维服务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（一）基础运维服务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扬州市房建市政交易7.0系统主要涉及其包含的交易业务系统、不见面开标系统、评标系统及远程协调系统等。</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1、日常巡检：制定巡检计划并做好巡检工作，按日、周、月、季、半年及年度或任意需求时间段提供运维报告，包括日常巡检</w:t>
      </w:r>
      <w:r>
        <w:rPr>
          <w:rFonts w:ascii="Times New Roman Regular" w:hAnsi="Times New Roman Regular" w:cs="Times New Roman Regular"/>
          <w:color w:val="000000"/>
          <w:sz w:val="24"/>
          <w:szCs w:val="24"/>
        </w:rPr>
        <w:t xml:space="preserve">功能可用性和服务有效性检查；及时发现并处理各软件系统运行中出现的问题；现有功能的适应性改进（不涉及系统架构）。7.0系统日常运行的安全巡检服务，包括但不限于系统发布内容的检查监控；系统目录及数据的异地或异机备份的安全、分析系统日志和统计信息，预防问题的发生；产品补丁的安装。提供数据库空间监控、规划及管理、数据库常见问题的分析、诊断及解决；数据库性能的评估、监测和调整；系统资源的监控及管理、数据库安全及用户的管理。辅助软件运维进行应急处置工作中的操作系统、数据库等基础设施的排查及处置工作，并提供相关技术支撑。</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系统功能维护：针对系统功能提供日常维护服务，确保系统平台业务处理能力、开标评标能力、远程协调能力以及违规预警能力，保持系统对外服务接口正常运行，保证整个系统平台功能完整、运行安全稳定。</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数据维护：依据国家、省反馈的数据归集存在问题及时对相应数据项进行修改、完善和补推；按照系统的实际配置情况，制定数据备份计划，为数据恢复提供完整的依据；数据库及数据平台项目均应建立异地容灾备份系统和相关工作机制，保证重要数据在受到破坏后，可紧急恢复；各容灾备份系统应具有一定兼容性，在特殊情况下各系统间可互为备份。</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4、日常咨询服务：现场运维人员需为各方主体用户提供日常咨询、技术指导与服务，服务包含：现场咨询、工作电话咨询，提供的服务需面向代理机构、交易中心及其他日常咨询、技术指导与服务。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（二）功能研发、系统对接服务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依据省数据局、省公共资源交易中心2026年工作要点中部署的涉建设工程领域的信息化推进目标，协助市公共资源交易中心制定扬州市公共资源交易信息化实施方案，配备相应技术力量人员按时序推进7.0系统相关信息化建设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2、负责完成为落实国家、省各级各界部门关于推进优化营商环境和改革发展重大、重点工作而涉及到的7.0系统全新功能研发、部分模块功能优化、第三方平台接口开发对接以及联调测试等突击性工作任务。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依据市公共资源交易中心落实行业监管部门、执纪执法监督部门以及各方市场主体关于交易系统功能合理化建议的建设需求，进行工作量、时长、风险评估，配备相应技术力量，根据中心“派单”要求完成7.0系统相应功能研发与完善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4、负责完成因中心其他相关创新工作（如“AI+公共资源交易”）开展而涉及到7.0系统必要的相关改造与适配工作。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5、负责完成其他在开展日常建设工程交易招投标活动过程中，中心提出的7.0系统改造、优化、提升需求。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（三）应急服务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现场应急服务：在出现安全事件后，驻场人员负责对计算机系统和网络安全事件的处理提供技术支持和指导，处理过程应遵循正确的流程，采取正确快速的行动作出响应，尽最大可能收集事件相关信息，明确事件类别，确定事件来源，保护证据，以便缩短应急响应时间。</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应急处置：（1）检查威胁造成的结果，评估事件带来的影响和损害：如检查系统、服务、数据的完整性、保密性或可用性，检查攻击者是否侵入了系统，以后是否能再次随意进入，损失的程度，确定暴露出的主要危险。（2）抑制事件的影响进一步扩大，限制潜在的损失与破坏。（3）通过对有关恶意代码或行为的分析结果，找出事件根源，明确相应的补救措施并彻底清除。（4）清理系统，恢复数据、程序、服务。把所有被攻破的系统和网络设备彻底还原到它们正常的任务状态。</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备份与恢复策略：必须建立完整的系统备份档案，保证宕机时能将系统及时恢复至包括相关软件配置的原有状态。根据应用的实际情况，列出所有相关数据的连接关系，以便制定详细的应用系统数据备份计划，为数据恢复提供完整的依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应急措施：应针对黑客攻击事件、病毒事件、软件系统遭破坏性攻击、系统存在严重BUG造成业务操作失误、数据错误、数据库安全、数据库中数据被大面积非法篡改或删除等情况制定紧急处置预案，并在发生重大安全事件时予以启动应急措施，保障7.0系统安全稳定运行。</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5、总结报告：回顾并整理已发生事件的各种相关信息，尽可能地把所有情况记录到文档中。发生重大信息安全事件的，应当在事件处理完毕后将处理结果备案。</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6、安全培训：组织协调组和数据管理组应加强对系统突发事件应急的宣传教育工作，定期或不定期地组织有关部门及保障人员进行技术培训和应急演练，保证应急预案的有效实施，不断提高应对系统突发事件的能力。</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3.2.2 运维形式与响应要求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1、组建客服团队提供400专业咨询渠道，提供5*8小时服务，主要包括业务系统咨询和日常操作问题处理，面向代理机构、交易中心及其他相关主体提供日常咨询与技术指导服务，保障招投标活动顺利推进。</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2、驻场运维：现场常派不少</w:t>
      </w:r>
      <w:r>
        <w:rPr>
          <w:rFonts w:ascii="Times New Roman Regular" w:hAnsi="Times New Roman Regular" w:cs="Times New Roman Regular"/>
          <w:color w:val="000000"/>
          <w:sz w:val="24"/>
          <w:szCs w:val="24"/>
        </w:rPr>
        <w:t xml:space="preserve">于3名驻场技术人员（可与扬州市公共资源交易平台系统共用），要求对7.0系统相当熟悉。现场运维人员提供现场服务，负责7.0系统的现场日常维护更新工作，保障系统的正常稳定运行；需对项目运维日常查看保障、制定相关实施计划，保证计划实现；组织、指导后方团队远程开展运维工作；负责依据如巡视、审计等要求组织实施开展数据准备工作；发现、解决问题，提出解决办法和建议；日常跟踪不见面开标系统并及时处置延时、卡顿、断针等问题；对中心信息化需求派单开展评估、制定计划及指导开发团队实施；负责全市各分中心系统问题的紧急现场处置应等。</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远程运维支持：出于流程规范以及平台安全、释放现场交付工程师的工作压力，现场不接触代码，配备远程运维小组，配合现场人员，解决问题，保障系统稳定运行。并可以提供相关安全服务、系统测试，以及其他优化建议。</w:t>
      </w:r>
      <w:r/>
    </w:p>
    <w:p>
      <w:pPr>
        <w:ind w:firstLine="480"/>
        <w:jc w:val="left"/>
        <w:spacing w:line="400" w:lineRule="exact"/>
        <w:rPr>
          <w:rFonts w:hint="default" w:ascii="Times New Roman Regular" w:hAnsi="Times New Roman Regular" w:eastAsia="宋体" w:cs="Times New Roman Regular"/>
          <w:color w:val="000000"/>
          <w:sz w:val="24"/>
          <w:szCs w:val="24"/>
        </w:rPr>
      </w:pPr>
      <w:r>
        <w:rPr>
          <w:rFonts w:ascii="Times New Roman Regular" w:hAnsi="Times New Roman Regular" w:cs="Times New Roman Regular"/>
          <w:color w:val="000000"/>
          <w:sz w:val="24"/>
          <w:szCs w:val="24"/>
        </w:rPr>
        <w:t xml:space="preserve">4、故障排除：需详细记录每次故障时间、地点、故障现象、处置过程、处置结果和处置时间等内容，需经中心签字认可，并作为服务验收依据。</w:t>
      </w:r>
      <w:r>
        <w:rPr>
          <w:rFonts w:hint="eastAsia" w:ascii="Times New Roman Regular" w:hAnsi="Times New Roman Regular" w:eastAsia="宋体" w:cs="Times New Roman Regular"/>
          <w:color w:val="000000"/>
          <w:sz w:val="24"/>
          <w:szCs w:val="24"/>
          <w:lang w:val="en-US" w:eastAsia="zh-CN"/>
        </w:rPr>
        <w:t xml:space="preserve">建</w:t>
      </w:r>
      <w:r>
        <w:rPr>
          <w:rFonts w:hint="default" w:ascii="Times New Roman Regular" w:hAnsi="Times New Roman Regular" w:eastAsia="宋体" w:cs="Times New Roman Regular"/>
          <w:color w:val="000000"/>
          <w:sz w:val="24"/>
          <w:szCs w:val="24"/>
        </w:rPr>
        <w:t xml:space="preserve">立分级故障处理机制（P1-P3级），提供7*24小时故障处理服务，明确各级故障的响应时限和解决时限。</w:t>
      </w:r>
      <w:r/>
    </w:p>
    <w:p>
      <w:pPr>
        <w:ind w:firstLine="480"/>
        <w:jc w:val="left"/>
        <w:spacing w:line="400" w:lineRule="exact"/>
        <w:rPr>
          <w:rFonts w:hint="default" w:ascii="Times New Roman Regular" w:hAnsi="Times New Roman Regular" w:eastAsia="宋体" w:cs="Times New Roman Regular"/>
          <w:color w:val="000000"/>
          <w:sz w:val="24"/>
          <w:szCs w:val="24"/>
        </w:rPr>
      </w:pPr>
      <w:r>
        <w:rPr>
          <w:rFonts w:hint="default" w:ascii="Times New Roman Regular" w:hAnsi="Times New Roman Regular" w:eastAsia="宋体" w:cs="Times New Roman Regular"/>
          <w:color w:val="000000"/>
          <w:sz w:val="24"/>
          <w:szCs w:val="24"/>
        </w:rPr>
        <w:t xml:space="preserve">P1级故障（全业务中断）：15分钟内响应，1小时内定位故障，2小时内恢复。</w:t>
      </w:r>
      <w:r/>
    </w:p>
    <w:p>
      <w:pPr>
        <w:ind w:firstLine="480"/>
        <w:jc w:val="left"/>
        <w:spacing w:line="400" w:lineRule="exact"/>
        <w:rPr>
          <w:rFonts w:hint="default" w:ascii="Times New Roman Regular" w:hAnsi="Times New Roman Regular" w:eastAsia="宋体" w:cs="Times New Roman Regular"/>
          <w:color w:val="000000"/>
          <w:sz w:val="24"/>
          <w:szCs w:val="24"/>
        </w:rPr>
      </w:pPr>
      <w:r>
        <w:rPr>
          <w:rFonts w:hint="default" w:ascii="Times New Roman Regular" w:hAnsi="Times New Roman Regular" w:eastAsia="宋体" w:cs="Times New Roman Regular"/>
          <w:color w:val="000000"/>
          <w:sz w:val="24"/>
          <w:szCs w:val="24"/>
        </w:rPr>
        <w:t xml:space="preserve">P2级故障（部分业务中断）：30分钟内响应，2小时内定位故障，3小时内恢复。</w:t>
      </w:r>
      <w:r/>
    </w:p>
    <w:p>
      <w:pPr>
        <w:ind w:firstLine="480"/>
        <w:jc w:val="left"/>
        <w:spacing w:line="400" w:lineRule="exact"/>
        <w:rPr>
          <w:rFonts w:hint="default" w:ascii="Times New Roman Regular" w:hAnsi="Times New Roman Regular" w:eastAsia="宋体" w:cs="Times New Roman Regular"/>
          <w:color w:val="000000"/>
          <w:sz w:val="24"/>
          <w:szCs w:val="24"/>
        </w:rPr>
      </w:pPr>
      <w:r>
        <w:rPr>
          <w:rFonts w:hint="default" w:ascii="Times New Roman Regular" w:hAnsi="Times New Roman Regular" w:eastAsia="宋体" w:cs="Times New Roman Regular"/>
          <w:color w:val="000000"/>
          <w:sz w:val="24"/>
          <w:szCs w:val="24"/>
        </w:rPr>
        <w:t xml:space="preserve">P3级故障（非关键功能异常）：1小时内响应，3小时内定位故障，4小时内恢复。</w:t>
      </w:r>
      <w:r/>
    </w:p>
    <w:p>
      <w:pPr>
        <w:ind w:firstLine="480"/>
        <w:jc w:val="left"/>
        <w:spacing w:line="400" w:lineRule="exact"/>
      </w:pPr>
      <w:r>
        <w:rPr>
          <w:rFonts w:hint="default" w:ascii="Times New Roman Regular" w:hAnsi="Times New Roman Regular" w:eastAsia="宋体" w:cs="Times New Roman Regular"/>
          <w:color w:val="000000"/>
          <w:sz w:val="24"/>
          <w:szCs w:val="24"/>
        </w:rPr>
        <w:t xml:space="preserve">故障解决后应在48小时内提交复盘报告，包含根因分析、改进措施及整改时限。</w:t>
      </w:r>
      <w:r/>
    </w:p>
    <w:p>
      <w:pPr>
        <w:jc w:val="left"/>
        <w:spacing w:before="240" w:after="240" w:line="400" w:lineRule="exact"/>
        <w:rPr>
          <w:rFonts w:ascii="Times New Roman Regular" w:hAnsi="Times New Roman Regular" w:cs="Times New Roman Regular"/>
          <w:b/>
          <w:bCs/>
          <w:color w:val="000000"/>
          <w:sz w:val="24"/>
          <w:szCs w:val="24"/>
        </w:rPr>
        <w:outlineLvl w:val="2"/>
      </w:pPr>
      <w:r>
        <w:rPr>
          <w:rFonts w:ascii="Times New Roman Regular" w:hAnsi="Times New Roman Regular" w:cs="Times New Roman Regular"/>
          <w:b/>
          <w:bCs/>
          <w:color w:val="000000"/>
          <w:sz w:val="24"/>
          <w:szCs w:val="24"/>
        </w:rPr>
        <w:t xml:space="preserve">3.3 一体化政务服务平台电子印章系统运维服务</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3.3.1 系统运维服务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1、建立系统运维制度、完善流程；</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2、做好需求分析和需求对接工作；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3、提供日常咨询服务，解答用户关于电子印章使用的相关问题；</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4、根据用户及实际工作需求，提供业务培训；</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5、提供电子印章系统日志信息、电子印章制作、授权信息等查询服务和电子印章各类数据统计服务；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6、建立、更新符合本项目实际情况的知识库。</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7、提供存量印章的日常维护以及新增电子印章的制作工作。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8、定期对电子印章相关数据进行备份，对业务运行状态进行监控，出现异常及时处理；</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9、每天上班前和下班后分别对电子印章系统功能进行验证，确保各项功能可用，发现问题第一时间处理。</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10、对系统基础服务提供后台定时检测。</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11、定期对系统进行安全防护，防护措施包括但不限于：修改远程ssh端口、设置密码复杂性要求、暴露公网主机设置禁ping、设置密码过期时间。</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12、定期对操作系统、数据库、中间件等各类软硬件资源进行维护，包括但不限于系统升级、漏洞修补、服务更新、数据备份等。</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13、从密码设备硬件运行状况、软件运行状况两方面实现对密码设备的运维管理。</w:t>
      </w:r>
      <w:r/>
    </w:p>
    <w:p>
      <w:pPr>
        <w:ind w:firstLine="480"/>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14、制定相应系统应急预案，明确系统故障、网络中断、数据异常、安全事件等场景的应急响应标准、流程及恢复策略，并根据业务需求定期组织应急演练，保障系统安全稳定运行。</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3.3.2 运维形式与响应要求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按照系统的业务需求，提供现场驻场不少于1人，执行周期性、预防性的例行操作服务，提供日常监控与巡检、预防性维护和响应支持服务，处理系统故障、服务中断等突发事件，处理用户咨询、权限申请、配置变更等非故障类请求；针对和辅助导致系统中断的重大事件启动特殊处理流程。</w:t>
      </w:r>
      <w:r/>
    </w:p>
    <w:p>
      <w:pPr>
        <w:jc w:val="left"/>
        <w:spacing w:before="240" w:after="240" w:line="400" w:lineRule="exact"/>
        <w:rPr>
          <w:rFonts w:ascii="Times New Roman Regular" w:hAnsi="Times New Roman Regular" w:cs="Times New Roman Regular"/>
          <w:b/>
          <w:bCs/>
          <w:color w:val="000000"/>
          <w:sz w:val="24"/>
          <w:szCs w:val="24"/>
        </w:rPr>
        <w:outlineLvl w:val="2"/>
      </w:pPr>
      <w:r>
        <w:rPr>
          <w:rFonts w:ascii="Times New Roman Regular" w:hAnsi="Times New Roman Regular" w:cs="Times New Roman Regular"/>
          <w:b/>
          <w:bCs/>
          <w:color w:val="000000"/>
          <w:sz w:val="24"/>
          <w:szCs w:val="24"/>
        </w:rPr>
        <w:t xml:space="preserve">3.4 扬州市政府门户网站内容保障运维服务</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3.4.1 业务保障服务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为市政府门户网站提供全面、稳定、高效的内容运营与安全保障服务，确保网站群内容权威准确、更新及时、运行安全、互动顺畅，整体提升市政府门户网站的政务公开水平、在线服务能力和公众互动体验，符合国家及省市相关考核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（一）网站群普查检测服务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1、检测范围：覆盖全市纳入全国政府网站信息报送系统的46个政府网站（含县市区门户网站）及扬州政务服务旗舰店，共计47个站点。</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季度测评与报告：依据国家（国办秘函〔2019〕19号文指标）及江苏省高质量发展考核相关指标要求，按季度对全部站点进行系统性测评，形成详尽的测评报告，并提出整改建议。对整改情况进行跟踪复测，确保问题闭环处理。</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常态化巡检：每周对全部47个站点进行一次全覆盖巡检。重点巡查可用性、更新情况、链接安全、互动交流、隐私保护等情况。包括：网站及核心页面能否正常访问；主要栏目内容是否按频次要求更新；是否存在错链、断链、暗链及涉密、敏感链接；咨询建言、调查征集等渠道是否畅通，答复是否及时、规范；是否存在个人隐私信息违规公开问题。</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（二）政务要闻与信息维护服务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日常新闻运维。每日上午完成市政府门户网站政务要闻、头条新闻、图片新闻、视频新闻等栏目的信息采集、编辑、审核与发布。信息源须为扬州日报、扬州发布等官方权威渠道；政务要闻栏目每日更新不少于6条，头条新闻、视频新闻每日更新，图片新闻每3天更新一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2、政务信息转载。严格按照上级要求，及时、准确地完成政声传递等栏目及子站的信息转载任务，确保政务信息规范传达。</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3、新媒体运维。负责中国扬州门户网站微信公众号的日常运营。每日下午从主站政务要闻、政声传递等栏目精选内容，完成编辑、审核与发布，每日发布信息不少于6条。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4、信息审核与发布。对各县（市、区）、市级部门上报至区县动态、部门要闻栏目的信息，依据统一录用标准进行审核，并及时发布。</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5、上级信息报送。负责从扬州本地权威媒体及部门渠道筛选、编辑符合省政府门户网站选用标准的优质稿件，协助完成向省政府门户网站的信息报送工作。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6、专题专栏维护。根据日常工作及热点主题，及时创建、更新和维护相关专题、主题页面，确保内容充实、时效性强。</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7、质量与安全保障。所有信息发布须严格执行“三审三校”制度，并建立完整、可追溯的审核记录台账；确保信息（含图片）内容准确、格式规范、发布及时；供应商须确保所提供的新闻、图片等素材具有合法版权或使用授权，避免产生知识产权纠纷。</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（三）网站群数字证书（SSL证书）服务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证书要求：采用CFCA颁发的OV通配符SSL证书，须支持国际RSA算法。</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覆盖范围：为市政府门户网站集约化平台下的所有网站和专页提供HTTPS安全加密服务。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技术实现：证书部署后，应实现自适应加密。确保所有用户均能无障碍、安全访问。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4、服务目标：保障政府网站群平台数据传输安全、可信，满足国家密码法规要求，并保持与国际标准的兼容性。</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（四）门户网站英文版翻译服务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1、翻译范围：覆盖市政府门户网站英文版的主要板块与内容，包括但不限于新闻资讯、城市概况、投资指南、旅游信息、魅力扬州等栏目。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2、工作量：翻译总量不低于3万中文汉字。</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3、质量要求：译文需准确、专业、符合国际传播语境与习惯。</w:t>
      </w:r>
      <w:r/>
    </w:p>
    <w:p>
      <w:pPr>
        <w:pStyle w:val="727"/>
        <w:ind w:firstLine="480"/>
        <w:rPr>
          <w:rFonts w:ascii="Times New Roman Regular" w:hAnsi="Times New Roman Regular" w:cs="Times New Roman Regular"/>
        </w:rPr>
      </w:pPr>
      <w:r>
        <w:rPr>
          <w:rFonts w:hint="eastAsia" w:ascii="Times New Roman Regular" w:hAnsi="Times New Roman Regular" w:cs="Times New Roman Regular"/>
        </w:rPr>
        <w:t xml:space="preserve">（五）应急管理要求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编制针对性应急预案，明确</w:t>
      </w:r>
      <w:r>
        <w:rPr>
          <w:rFonts w:hint="eastAsia" w:ascii="Times New Roman Regular" w:hAnsi="Times New Roman Regular" w:cs="Times New Roman Regular"/>
          <w:color w:val="000000"/>
          <w:sz w:val="24"/>
          <w:szCs w:val="24"/>
        </w:rPr>
        <w:t xml:space="preserve">网站内容</w:t>
      </w:r>
      <w:r>
        <w:rPr>
          <w:rFonts w:ascii="Times New Roman Regular" w:hAnsi="Times New Roman Regular" w:cs="Times New Roman Regular"/>
          <w:color w:val="000000"/>
          <w:sz w:val="24"/>
          <w:szCs w:val="24"/>
        </w:rPr>
        <w:t xml:space="preserve">安全事件场景的应急事件分级标准、处置流程及恢复策略；定期组织应急演练，留存演练记录并持续优化预案，完整归档应急处置过程、故障原因及整改措施，确保业务快速恢复、系统安全稳定运行。</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3.4.2 运维形式与响应要求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1、政务要闻与信息维护服务响应：工作标准及内容应根据国家和省市的相关要求及时调整。项目要求提供7×8小时服务，相关维护报送人员应确保工作时间1小时内，非工作时间4小时内响应。</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2、根据业务需求，提供不少于</w:t>
      </w:r>
      <w:r>
        <w:rPr>
          <w:rFonts w:hint="eastAsia" w:ascii="Times New Roman Regular" w:hAnsi="Times New Roman Regular" w:cs="Times New Roman Regular"/>
          <w:color w:val="000000"/>
          <w:sz w:val="24"/>
          <w:szCs w:val="24"/>
        </w:rPr>
        <w:t xml:space="preserve">9</w:t>
      </w:r>
      <w:r>
        <w:rPr>
          <w:rFonts w:ascii="Times New Roman Regular" w:hAnsi="Times New Roman Regular" w:cs="Times New Roman Regular"/>
          <w:color w:val="000000"/>
          <w:sz w:val="24"/>
          <w:szCs w:val="24"/>
        </w:rPr>
        <w:t xml:space="preserve">名远程技术支撑人员。</w:t>
      </w:r>
      <w:r/>
    </w:p>
    <w:p>
      <w:pPr>
        <w:jc w:val="left"/>
        <w:spacing w:before="240" w:after="240" w:line="400" w:lineRule="exact"/>
        <w:rPr>
          <w:rFonts w:ascii="Times New Roman Regular" w:hAnsi="Times New Roman Regular" w:cs="Times New Roman Regular"/>
          <w:b/>
          <w:bCs/>
          <w:color w:val="000000"/>
          <w:sz w:val="24"/>
          <w:szCs w:val="24"/>
        </w:rPr>
        <w:outlineLvl w:val="2"/>
      </w:pPr>
      <w:r>
        <w:rPr>
          <w:rFonts w:ascii="Times New Roman Regular" w:hAnsi="Times New Roman Regular" w:cs="Times New Roman Regular"/>
          <w:b/>
          <w:bCs/>
          <w:color w:val="000000"/>
          <w:sz w:val="24"/>
          <w:szCs w:val="24"/>
        </w:rPr>
        <w:t xml:space="preserve">3.5 扬州市公共资源交易平台系统运维服务</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3.5.1 系统运维服务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（一）系统服务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扬州市公共资源交易平台包含公共服务、交易服务以及监管服务三大子系统。</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日常运维：定期对项目所涉及的软件系统进行全面细致检查，包括但不限于软件系统运行状况及各项业务流程执行情况；通过持续日常巡检，实时掌握系统状态，保障各环节正常运转；按月编制运维报告，内容涵盖系统运行（故障）分析、服务总结、优化建议及服务效果评估；定期组织系统回归测试，保障系统安全与稳定，对测试中发现的问题进行分析并整改，直至问题修复，出具测试报告。</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系统功能维护：针对平台公共服务、国土交易、产权交易、农业工程、文保工程、“双电无U”、莲动扬州等各类子系统功能模块提供日常维护服务，保障整个平台的长期稳定运行；维护公共服务子系统与第三方系统的数据接口，满足系统数据交互与共享的需要。</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安装与部署：对测试环境测试通过后的软件功能升级包在正式环境进行部署以及调试，并制定升级不成功应急预案；为全市各分中心平台内设备应用提供技术支持，包括但不限于现场显示屏调试、网络调试、电子门牌调试等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4、故障诊断及响应：对于系统出现的异常，深入分析，进行故障定位，及时解决出现的问题；针对平台提供“零时间”故障响应，以最快的速度排除故障，将故障损失降到最低。</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重大项目及应急保障：根据扬州市公共资源交易中心的工作需求与指令，为重要交易活动提供现场人员保障与技术支持；制定系统运行故障应急保障制度，对紧急故障或工作任务实施“零时响应”，配合中心解决相关问题。</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6、信息安全管理及处置：针对平台安全性进行风险分析和评估，并制定相应运维安全应急预案。同时提供安全教育培训、安全故障处理、安全加固、漏洞扫描、反网络攻击、信息安全咨询等服务。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7、定期对项目所涉及的服务器资源、操作系统等进行全面细致检查，包括但不限于涉及软件系统的各类设施运行状况及各项流程执行情况。</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8、咨询服务：组建客服团队提供5×8小时服务，主要包括业务系统咨询和日常操作问题处理，面向代理机构、交易中心及其他相关主体提供日常咨询与技术指导服务，保障招投标活动顺利推进等；针对市场主体在系统操作中遇到的问题，依据相关法规与规范提供解答与操作指导，确保流程规范有序。</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9、培训服务：面向相关业务部门、特定市场主体组织人员培训。根据项目实际情况制定完善的培训计划，编写完整的培训教材，提供最新的文字、音像及电子培训资料。接受技术咨询，并派员赴现场进行安装与技术指导。配备专业培训师资，根据不同类型、不同层次培训对象安排相应师资。针对应用系统使用培训，提供内容详实的教材与经验丰富的培训人员。</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（二）数据服务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1、数据备份：数据备份主要包括平台各类交易领域的交易数据及监管数据备份,需要制定详细的系统备份计划，按制定的备份计划对应用系统进行完全备份或增量备份。</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2、数据归集：负责系统运行过程中各类数据的收集、整理与分析，确保数据的上传与上报、共享与交互、分析与应用的准确性、完整性与时效性，满足国家、省级平台归集要求，符合市级共享平台共享要求。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3、数据分析：持续优化监管服务子系统的大数据分析指标模型，根据中心要求通过增加、去除、归并等方式对现有的指标模型进行完善，提升数据分析的可靠性与准确性。</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4、数据查询：按规定开展数据修改与查询工作。严格依据客户申请需求，对系统中相关数据进行修改或查询，主要涉及日常数据核实等操作。</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3.5.2 运维形式与响应要求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按照系统的业务需求，提供现场驻场不少于3人（可与扬州市房建市政交易7.0系统共用），执行周期性、预防性的例行操作服务，提供日常监控与巡检、预防性维护和响应支持服务，处理系统故障、服务中断等突发事件，处理用户咨询、权限申请、配置变更等非故障类请求；针对和辅助导致系统中断的重大事件启动特殊处理流程。</w:t>
      </w:r>
      <w:r/>
    </w:p>
    <w:p>
      <w:pPr>
        <w:jc w:val="left"/>
        <w:spacing w:before="240" w:after="240" w:line="400" w:lineRule="exact"/>
        <w:rPr>
          <w:rFonts w:ascii="Times New Roman Regular" w:hAnsi="Times New Roman Regular" w:cs="Times New Roman Regular"/>
          <w:b/>
          <w:bCs/>
          <w:color w:val="000000"/>
          <w:sz w:val="24"/>
          <w:szCs w:val="24"/>
        </w:rPr>
        <w:outlineLvl w:val="2"/>
      </w:pPr>
      <w:r>
        <w:rPr>
          <w:rFonts w:ascii="Times New Roman Regular" w:hAnsi="Times New Roman Regular" w:cs="Times New Roman Regular"/>
          <w:b/>
          <w:bCs/>
          <w:color w:val="000000"/>
          <w:sz w:val="24"/>
          <w:szCs w:val="24"/>
        </w:rPr>
        <w:t xml:space="preserve">3.6 扬州市国家电子营业执照应用服务系统运维服务</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w:t>
      </w:r>
      <w:r>
        <w:rPr>
          <w:rFonts w:hint="eastAsia" w:ascii="Times New Roman Regular" w:hAnsi="Times New Roman Regular" w:eastAsia="宋体" w:cs="Times New Roman Regular"/>
          <w:bCs/>
          <w:sz w:val="24"/>
          <w:szCs w:val="24"/>
        </w:rPr>
        <w:t xml:space="preserve">6</w:t>
      </w:r>
      <w:r>
        <w:rPr>
          <w:rFonts w:ascii="Times New Roman Regular" w:hAnsi="Times New Roman Regular" w:eastAsia="宋体" w:cs="Times New Roman Regular"/>
          <w:bCs/>
          <w:sz w:val="24"/>
          <w:szCs w:val="24"/>
        </w:rPr>
        <w:t xml:space="preserve">.1 系统运维服务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1、应用数据调用服务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向扬州市政务服务系统提供电子营业执照应用数据调用服务，提供规范、易用、稳定的对接接口和相应的文档；支持国家市监总局电子营业执照小程序、微信、支付宝等移动应用扫码对企业身份验证处理、执照打印、留档处理、执照照面信息处理、规范接入系统的安全处理等功能。</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2、电子营业执照前置系统对接保障服务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指导应用部门进行应用系统的改造、对接、测试和维护工作。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电子营业执照对接保障服务包括电子营业执照身份认证功能的对接支持、调用支持；电子营业执照出示认证功能的对接支持、调用支持；电子营业执照文件共享留档功能的对接支持、调用支持；电子营业执照照面信息共享功能的对接支持、调用支持等。</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3、电子营业执照前置系统日常技术维护服务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系统日常技术维护服务包括系统定期巡检、BUG修改、系统更新、系统升级、故障诊断、故障处理、安全加固、日志审计、安全备份等服务，保障系统正常稳定运行。</w:t>
      </w:r>
      <w:r/>
    </w:p>
    <w:p>
      <w:pPr>
        <w:numPr>
          <w:ilvl w:val="0"/>
          <w:numId w:val="5"/>
        </w:num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电子营业执照前置系统及配套服务器密码机等对接保障服务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提供对接测试环境，用于新接入系统调试、模拟使用电子营业执照应用场景；业务处理性能可按照使用硬件服务器的性能，提升扩展。</w:t>
      </w:r>
      <w:r/>
    </w:p>
    <w:p>
      <w:pPr>
        <w:pStyle w:val="727"/>
        <w:ind w:firstLine="480"/>
        <w:rPr>
          <w:rFonts w:ascii="Times New Roman Regular" w:hAnsi="Times New Roman Regular" w:cs="Times New Roman Regular"/>
        </w:rPr>
      </w:pPr>
      <w:r>
        <w:rPr>
          <w:rFonts w:hint="eastAsia" w:ascii="Times New Roman Regular" w:hAnsi="Times New Roman Regular" w:cs="Times New Roman Regular"/>
        </w:rPr>
        <w:t xml:space="preserve">5、应急管理要求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编制针对性应急预案，明确系统故障、网络中断、数据异常、安全事件等场景的应急事件分级标准、处置流程及恢复策略；定期组织应急演练，留存演练记录并持续优化预案，完整归档应急处置过程、故障原因及整改措施，确保业务快速恢复、系统安全稳定运行。</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w:t>
      </w:r>
      <w:r>
        <w:rPr>
          <w:rFonts w:hint="eastAsia" w:ascii="Times New Roman Regular" w:hAnsi="Times New Roman Regular" w:eastAsia="宋体" w:cs="Times New Roman Regular"/>
          <w:bCs/>
          <w:sz w:val="24"/>
          <w:szCs w:val="24"/>
        </w:rPr>
        <w:t xml:space="preserve">6</w:t>
      </w:r>
      <w:r>
        <w:rPr>
          <w:rFonts w:ascii="Times New Roman Regular" w:hAnsi="Times New Roman Regular" w:eastAsia="宋体" w:cs="Times New Roman Regular"/>
          <w:bCs/>
          <w:sz w:val="24"/>
          <w:szCs w:val="24"/>
        </w:rPr>
        <w:t xml:space="preserve">.2 运维形式与响应要求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按照系统的业务需求，提供现场驻场不少于1人，执行周期性、预防性的例行操作服务，提供日常监控与巡检、预防性维护和响应支持服务，处理系统故障、服务中断等突发事件，处理用户咨询、权限申请、配置变更等非故障类请求；针对和辅助导致系统中断的重大事件启动特殊处理流程。</w:t>
      </w:r>
      <w:r/>
    </w:p>
    <w:p>
      <w:pPr>
        <w:jc w:val="left"/>
        <w:spacing w:before="240" w:after="240" w:line="400" w:lineRule="exact"/>
        <w:rPr>
          <w:rFonts w:ascii="Times New Roman Regular" w:hAnsi="Times New Roman Regular" w:cs="Times New Roman Regular"/>
          <w:b/>
          <w:bCs/>
          <w:color w:val="000000"/>
          <w:sz w:val="24"/>
          <w:szCs w:val="24"/>
        </w:rPr>
        <w:outlineLvl w:val="2"/>
      </w:pPr>
      <w:r>
        <w:rPr>
          <w:rFonts w:ascii="Times New Roman Regular" w:hAnsi="Times New Roman Regular" w:cs="Times New Roman Regular"/>
          <w:b/>
          <w:bCs/>
          <w:color w:val="000000"/>
          <w:sz w:val="24"/>
          <w:szCs w:val="24"/>
        </w:rPr>
        <w:t xml:space="preserve">3.7 一体化运维体系技术试点对接服务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在保障上述6个政务系统正常运行的基础上，依托扬州市一体化数字资源底座的统一运维管理系统，以数据局政务系统为试点，探索统一运维管理体系的建设，拟构建一个权责清晰、流程闭环、高效协同的一体化运维体系。</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w:t>
      </w:r>
      <w:r>
        <w:rPr>
          <w:rFonts w:hint="eastAsia" w:ascii="Times New Roman Regular" w:hAnsi="Times New Roman Regular" w:eastAsia="宋体" w:cs="Times New Roman Regular"/>
          <w:bCs/>
          <w:sz w:val="24"/>
          <w:szCs w:val="24"/>
        </w:rPr>
        <w:t xml:space="preserve">7</w:t>
      </w:r>
      <w:r>
        <w:rPr>
          <w:rFonts w:ascii="Times New Roman Regular" w:hAnsi="Times New Roman Regular" w:eastAsia="宋体" w:cs="Times New Roman Regular"/>
          <w:bCs/>
          <w:sz w:val="24"/>
          <w:szCs w:val="24"/>
        </w:rPr>
        <w:t xml:space="preserve">.1 统一运维管理系统功能简介</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统一运维管理系统支持对接入的应用系统及其依赖各类资源的整体可用性进行</w:t>
      </w:r>
      <w:r>
        <w:rPr>
          <w:rFonts w:hint="eastAsia" w:ascii="Times New Roman Regular" w:hAnsi="Times New Roman Regular" w:cs="Times New Roman Regular"/>
          <w:color w:val="000000"/>
          <w:sz w:val="24"/>
          <w:szCs w:val="24"/>
        </w:rPr>
        <w:t xml:space="preserve">运维监测</w:t>
      </w:r>
      <w:r>
        <w:rPr>
          <w:rFonts w:ascii="Times New Roman Regular" w:hAnsi="Times New Roman Regular" w:cs="Times New Roman Regular"/>
          <w:color w:val="000000"/>
          <w:sz w:val="24"/>
          <w:szCs w:val="24"/>
        </w:rPr>
        <w:t xml:space="preserve">。系统由对象管理子系统、风险监测子系统、风险处置子系统、指挥调度子系统构成。</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1、对象管理子系统：支持对可用性运维保障所涉及的对象</w:t>
      </w:r>
      <w:r>
        <w:rPr>
          <w:rFonts w:hint="eastAsia" w:ascii="Times New Roman Regular" w:hAnsi="Times New Roman Regular" w:cs="Times New Roman Regular"/>
          <w:color w:val="000000"/>
          <w:sz w:val="24"/>
          <w:szCs w:val="24"/>
        </w:rPr>
        <w:t xml:space="preserve">要素</w:t>
      </w:r>
      <w:r>
        <w:rPr>
          <w:rFonts w:ascii="Times New Roman Regular" w:hAnsi="Times New Roman Regular" w:cs="Times New Roman Regular"/>
          <w:color w:val="000000"/>
          <w:sz w:val="24"/>
          <w:szCs w:val="24"/>
        </w:rPr>
        <w:t xml:space="preserve">进行统一的在线管理。支持按照统一的对象分类和对象要素模型进行对象接入；支持通过日志扫描、数据对接等方式动态完成各类对象规范接入；支持通过资源动态关联将各类离散资产以应用为中心构建资源分层拓扑图；支持通过日志管理接入</w:t>
      </w:r>
      <w:r>
        <w:rPr>
          <w:rFonts w:hint="eastAsia" w:ascii="Times New Roman Regular" w:hAnsi="Times New Roman Regular" w:cs="Times New Roman Regular"/>
          <w:color w:val="000000"/>
          <w:sz w:val="24"/>
          <w:szCs w:val="24"/>
        </w:rPr>
        <w:t xml:space="preserve">访问日志、后端</w:t>
      </w:r>
      <w:r>
        <w:rPr>
          <w:rFonts w:ascii="Times New Roman Regular" w:hAnsi="Times New Roman Regular" w:cs="Times New Roman Regular"/>
          <w:color w:val="000000"/>
          <w:sz w:val="24"/>
          <w:szCs w:val="24"/>
        </w:rPr>
        <w:t xml:space="preserve">日志等对象</w:t>
      </w:r>
      <w:r>
        <w:rPr>
          <w:rFonts w:hint="eastAsia" w:ascii="Times New Roman Regular" w:hAnsi="Times New Roman Regular" w:cs="Times New Roman Regular"/>
          <w:color w:val="000000"/>
          <w:sz w:val="24"/>
          <w:szCs w:val="24"/>
        </w:rPr>
        <w:t xml:space="preserve">相关</w:t>
      </w:r>
      <w:r>
        <w:rPr>
          <w:rFonts w:ascii="Times New Roman Regular" w:hAnsi="Times New Roman Regular" w:cs="Times New Roman Regular"/>
          <w:color w:val="000000"/>
          <w:sz w:val="24"/>
          <w:szCs w:val="24"/>
        </w:rPr>
        <w:t xml:space="preserve">日志；支持通过转维管理，完成应用从开发建设阶段到运维阶段的规范转维交付。</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风险监测子系统：建设预警告警规则管理、应急预案管理，实现运行管理全流程知识沉淀，指导运行管理工作高效有序进行。同时根据沉淀的用于运维监测的预警告警规则，对应用各类对象通过规则包配置监控，配置完成后可通过消息订阅渠道，将监测产生的预警告警结果精准通知到接收方，以此来推动日常运维管理工作中产生的风险接收及闭环处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风险处置子系统：针对已知可用性风险建立规范化风险处置流程，实现风险监测中发现的风险信息进行自动流转，通过标准化处置节点推动运维人员及时、高效、科学地跟进风险处置进展。支持对总体运行管理情况进行统计分析，并根据考核规则进行考核配置，实现应用综合评价。</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指挥调度子系统：通过建设运维大屏，总览整体的实时运行状态。运维大屏的内容包括数字孪生、态势感知、多元快响、综合评价四大板块，提供应急指挥决策支持，实现“快发现、快响应、快处置、快复盘”的四快循环。</w:t>
      </w:r>
      <w:r/>
    </w:p>
    <w:p>
      <w:pPr>
        <w:pStyle w:val="726"/>
        <w:numPr>
          <w:ilvl w:val="2"/>
          <w:numId w:val="0"/>
        </w:numPr>
        <w:ind w:left="629"/>
        <w:spacing w:before="181" w:after="181"/>
        <w:rPr>
          <w:rFonts w:ascii="Times New Roman Regular" w:hAnsi="Times New Roman Regular" w:eastAsia="宋体" w:cs="Times New Roman Regular"/>
          <w:bCs/>
          <w:sz w:val="24"/>
          <w:szCs w:val="24"/>
        </w:rPr>
        <w:outlineLvl w:val="3"/>
      </w:pPr>
      <w:r>
        <w:rPr>
          <w:rFonts w:ascii="Times New Roman Regular" w:hAnsi="Times New Roman Regular" w:eastAsia="宋体" w:cs="Times New Roman Regular"/>
          <w:bCs/>
          <w:sz w:val="24"/>
          <w:szCs w:val="24"/>
        </w:rPr>
        <w:t xml:space="preserve">3.</w:t>
      </w:r>
      <w:r>
        <w:rPr>
          <w:rFonts w:hint="eastAsia" w:ascii="Times New Roman Regular" w:hAnsi="Times New Roman Regular" w:eastAsia="宋体" w:cs="Times New Roman Regular"/>
          <w:bCs/>
          <w:sz w:val="24"/>
          <w:szCs w:val="24"/>
        </w:rPr>
        <w:t xml:space="preserve">7</w:t>
      </w:r>
      <w:r>
        <w:rPr>
          <w:rFonts w:ascii="Times New Roman Regular" w:hAnsi="Times New Roman Regular" w:eastAsia="宋体" w:cs="Times New Roman Regular"/>
          <w:bCs/>
          <w:sz w:val="24"/>
          <w:szCs w:val="24"/>
        </w:rPr>
        <w:t xml:space="preserve">.2 统一纳管实施流程</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根据统一运维系统的功能，确保试点业务系统的资产、风险、处置、人员调度全部纳入系统闭环管理。整个流程分为四个阶段：</w:t>
      </w:r>
      <w:r/>
    </w:p>
    <w:p>
      <w:pPr>
        <w:ind w:firstLine="480"/>
        <w:jc w:val="left"/>
        <w:spacing w:line="400" w:lineRule="exact"/>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rPr>
        <w:t xml:space="preserve">（一）系统现状调研阶段</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1、阶段目标</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全面摸清拟纳管政务系统的资产、架构、运维现状及管理接口，为后续适配与接入提供准确依据。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2、主要任务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（1）资产信息采集</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包括但不限于：梳理硬件资产、软件资产、云资源及IP地址、设备序列号、维保信息等；确认资产归属部门、管理员、厂商联系人等。</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（2）系统架构与依赖分析</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包括但不限于：明确接入系统的业务模块、接口、</w:t>
      </w:r>
      <w:r>
        <w:rPr>
          <w:rFonts w:hint="eastAsia" w:ascii="Times New Roman Regular" w:hAnsi="Times New Roman Regular" w:cs="Times New Roman Regular"/>
          <w:color w:val="000000"/>
          <w:sz w:val="24"/>
          <w:szCs w:val="24"/>
        </w:rPr>
        <w:t xml:space="preserve">前端页面、底层云资源</w:t>
      </w:r>
      <w:r>
        <w:rPr>
          <w:rFonts w:ascii="Times New Roman Regular" w:hAnsi="Times New Roman Regular" w:cs="Times New Roman Regular"/>
          <w:color w:val="000000"/>
          <w:sz w:val="24"/>
          <w:szCs w:val="24"/>
        </w:rPr>
        <w:t xml:space="preserve">；梳理单点故障风险点。</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（3）运维现状与历史数据收集</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包括但不限于：收集接入系统的现有监控工具的监控项、阈值、告警记录、巡检报告；整理历史故障信息；了解当前运维方式。</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（4）接口与协议调研</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包括但不限于：确认接入系统是否开放标准北向接口、梳理</w:t>
      </w:r>
      <w:r>
        <w:rPr>
          <w:rFonts w:hint="eastAsia" w:ascii="Times New Roman Regular" w:hAnsi="Times New Roman Regular" w:cs="Times New Roman Regular"/>
          <w:color w:val="000000"/>
          <w:sz w:val="24"/>
          <w:szCs w:val="24"/>
        </w:rPr>
        <w:t xml:space="preserve">接口请求方式</w:t>
      </w:r>
      <w:r>
        <w:rPr>
          <w:rFonts w:ascii="Times New Roman Regular" w:hAnsi="Times New Roman Regular" w:cs="Times New Roman Regular"/>
          <w:color w:val="000000"/>
          <w:sz w:val="24"/>
          <w:szCs w:val="24"/>
        </w:rPr>
        <w:t xml:space="preserve">。</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（5）安全合规要求收集</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包括但不限于：明确接入系统的等保级别、数据安全要求；确认运维操作是否需要双人复核、审批流程。</w:t>
      </w:r>
      <w:r/>
    </w:p>
    <w:p>
      <w:pPr>
        <w:ind w:firstLine="480"/>
        <w:jc w:val="left"/>
        <w:spacing w:line="400" w:lineRule="exact"/>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rPr>
        <w:t xml:space="preserve">（二）系统适配评估阶段</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1、阶段目标</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基于调研结果，评估系统可纳管性，设计适配方案，并完成必要的联调验证，确保统一运维管理系统能针对涉及的政务系统形成标准化的运维</w:t>
      </w:r>
      <w:r>
        <w:rPr>
          <w:rFonts w:hint="eastAsia" w:ascii="Times New Roman Regular" w:hAnsi="Times New Roman Regular" w:cs="Times New Roman Regular"/>
          <w:color w:val="000000"/>
          <w:sz w:val="24"/>
          <w:szCs w:val="24"/>
        </w:rPr>
        <w:t xml:space="preserve">监测</w:t>
      </w:r>
      <w:r>
        <w:rPr>
          <w:rFonts w:ascii="Times New Roman Regular" w:hAnsi="Times New Roman Regular" w:cs="Times New Roman Regular"/>
          <w:color w:val="000000"/>
          <w:sz w:val="24"/>
          <w:szCs w:val="24"/>
        </w:rPr>
        <w:t xml:space="preserve">能力。</w:t>
      </w:r>
      <w:r/>
    </w:p>
    <w:p>
      <w:pPr>
        <w:numPr>
          <w:ilvl w:val="0"/>
          <w:numId w:val="6"/>
        </w:num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主要任务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（1）纳管可行性评估</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包括但不限于：对照统一运维管理系统的4个子系统接入要求，逐项评估：资产是否可建模、监控指标是否可采集、告警是否可推送、流程是否可对接</w:t>
      </w:r>
      <w:r>
        <w:rPr>
          <w:rFonts w:hint="eastAsia" w:ascii="Times New Roman Regular" w:hAnsi="Times New Roman Regular" w:cs="Times New Roman Regular"/>
          <w:color w:val="000000"/>
          <w:sz w:val="24"/>
          <w:szCs w:val="24"/>
        </w:rPr>
        <w:t xml:space="preserve">；对不满足项提出整改要求或替代方案；明确整改项、风险点及时间计划。</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（2）对象管理子系统模型适配</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包括但不限于：设计对象要素模型：根据对象类型定义属性字段、关联关系；建立组织架构映射：将政务系统的委办局管理员映射到运维平台的用户体系</w:t>
      </w:r>
      <w:r>
        <w:rPr>
          <w:rFonts w:hint="eastAsia" w:ascii="Times New Roman Regular" w:hAnsi="Times New Roman Regular" w:cs="Times New Roman Regular"/>
          <w:color w:val="000000"/>
          <w:sz w:val="24"/>
          <w:szCs w:val="24"/>
        </w:rPr>
        <w:t xml:space="preserve">。</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（3）风险监测子系统监控设计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包括但不限于：监控指标覆盖</w:t>
      </w:r>
      <w:r>
        <w:rPr>
          <w:rFonts w:hint="eastAsia" w:ascii="Times New Roman Regular" w:hAnsi="Times New Roman Regular" w:cs="Times New Roman Regular"/>
          <w:color w:val="000000"/>
          <w:sz w:val="24"/>
          <w:szCs w:val="24"/>
        </w:rPr>
        <w:t xml:space="preserve">核心</w:t>
      </w:r>
      <w:r>
        <w:rPr>
          <w:rFonts w:ascii="Times New Roman Regular" w:hAnsi="Times New Roman Regular" w:cs="Times New Roman Regular"/>
          <w:color w:val="000000"/>
          <w:sz w:val="24"/>
          <w:szCs w:val="24"/>
        </w:rPr>
        <w:t xml:space="preserve">流程；制定告警策略：针对不同级别系统配置差异化阈值，制定告警升级规则；确认数据采集方式并完成小范围连通性测试。</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（4）风险处置子系统处置能力预置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包括但不限于：梳理高频故障场景，设计</w:t>
      </w:r>
      <w:r>
        <w:rPr>
          <w:rFonts w:hint="eastAsia" w:ascii="Times New Roman Regular" w:hAnsi="Times New Roman Regular" w:cs="Times New Roman Regular"/>
          <w:color w:val="000000"/>
          <w:sz w:val="24"/>
          <w:szCs w:val="24"/>
        </w:rPr>
        <w:t xml:space="preserve">预案</w:t>
      </w:r>
      <w:r>
        <w:rPr>
          <w:rFonts w:ascii="Times New Roman Regular" w:hAnsi="Times New Roman Regular" w:cs="Times New Roman Regular"/>
          <w:color w:val="000000"/>
          <w:sz w:val="24"/>
          <w:szCs w:val="24"/>
        </w:rPr>
        <w:t xml:space="preserve">；针对典型故障编排流</w:t>
      </w:r>
      <w:r>
        <w:rPr>
          <w:rFonts w:hint="eastAsia" w:ascii="Times New Roman Regular" w:hAnsi="Times New Roman Regular" w:cs="Times New Roman Regular"/>
          <w:color w:val="000000"/>
          <w:sz w:val="24"/>
          <w:szCs w:val="24"/>
        </w:rPr>
        <w:t xml:space="preserve">程</w:t>
      </w:r>
      <w:r>
        <w:rPr>
          <w:rFonts w:ascii="Times New Roman Regular" w:hAnsi="Times New Roman Regular" w:cs="Times New Roman Regular"/>
          <w:color w:val="000000"/>
          <w:sz w:val="24"/>
          <w:szCs w:val="24"/>
        </w:rPr>
        <w:t xml:space="preserve">；设计事件/变更/问题流程，匹配政务系统审批链；配置告警通知规则；预置应急协同预案；制定考核规则进行考核配置。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（5）指挥调度子系统流程配置</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w:t>
      </w:r>
      <w:r>
        <w:rPr>
          <w:rFonts w:hint="eastAsia" w:ascii="Times New Roman Regular" w:hAnsi="Times New Roman Regular" w:cs="Times New Roman Regular"/>
          <w:color w:val="000000"/>
          <w:sz w:val="24"/>
          <w:szCs w:val="24"/>
        </w:rPr>
        <w:t xml:space="preserve">监控信息展示在</w:t>
      </w:r>
      <w:r>
        <w:rPr>
          <w:rFonts w:ascii="Times New Roman Regular" w:hAnsi="Times New Roman Regular" w:cs="Times New Roman Regular"/>
          <w:color w:val="000000"/>
          <w:sz w:val="24"/>
          <w:szCs w:val="24"/>
        </w:rPr>
        <w:t xml:space="preserve">统一运维管理系统的运维大屏</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总览系统实时运行状态。</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（6）接口联调与测试</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w:t>
      </w:r>
      <w:r>
        <w:rPr>
          <w:rFonts w:hint="eastAsia" w:ascii="Times New Roman Regular" w:hAnsi="Times New Roman Regular" w:cs="Times New Roman Regular"/>
          <w:color w:val="000000"/>
          <w:sz w:val="24"/>
          <w:szCs w:val="24"/>
        </w:rPr>
        <w:t xml:space="preserve">进行接口适配开发，</w:t>
      </w:r>
      <w:r>
        <w:rPr>
          <w:rFonts w:ascii="Times New Roman Regular" w:hAnsi="Times New Roman Regular" w:cs="Times New Roman Regular"/>
          <w:color w:val="000000"/>
          <w:sz w:val="24"/>
          <w:szCs w:val="24"/>
        </w:rPr>
        <w:t xml:space="preserve">打通监控数据告警</w:t>
      </w:r>
      <w:r>
        <w:rPr>
          <w:rFonts w:hint="eastAsia" w:ascii="Times New Roman Regular" w:hAnsi="Times New Roman Regular" w:cs="Times New Roman Regular"/>
          <w:color w:val="000000"/>
          <w:sz w:val="24"/>
          <w:szCs w:val="24"/>
        </w:rPr>
        <w:t xml:space="preserve">等</w:t>
      </w:r>
      <w:r>
        <w:rPr>
          <w:rFonts w:ascii="Times New Roman Regular" w:hAnsi="Times New Roman Regular" w:cs="Times New Roman Regular"/>
          <w:color w:val="000000"/>
          <w:sz w:val="24"/>
          <w:szCs w:val="24"/>
        </w:rPr>
        <w:t xml:space="preserve">通道；在测试环境验证数据准确性、告警有效性。</w:t>
      </w:r>
      <w:r/>
    </w:p>
    <w:p>
      <w:pPr>
        <w:ind w:firstLine="480"/>
        <w:jc w:val="left"/>
        <w:spacing w:line="400" w:lineRule="exact"/>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rPr>
        <w:t xml:space="preserve">（三）系统配置与实施阶段</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1、阶段目标</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依据适配评估阶段的设计方案，在统一运维管理系统中完成配置部署，正式将各政务系统纳入统一运维系统的管理范围。</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2、主要任务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（1）对象管理子系统对象导入与建模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包括但不限于：将调研与分类的对象数据导入或录入对象管理子系统，建立完整的</w:t>
      </w:r>
      <w:r>
        <w:rPr>
          <w:rFonts w:hint="eastAsia" w:ascii="Times New Roman Regular" w:hAnsi="Times New Roman Regular" w:cs="Times New Roman Regular"/>
          <w:color w:val="000000"/>
          <w:sz w:val="24"/>
          <w:szCs w:val="24"/>
        </w:rPr>
        <w:t xml:space="preserve">要素清单</w:t>
      </w:r>
      <w:r>
        <w:rPr>
          <w:rFonts w:ascii="Times New Roman Regular" w:hAnsi="Times New Roman Regular" w:cs="Times New Roman Regular"/>
          <w:color w:val="000000"/>
          <w:sz w:val="24"/>
          <w:szCs w:val="24"/>
        </w:rPr>
        <w:t xml:space="preserve">；配置对象关联关系，形成业务拓扑图；并分配运维权限。</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（2）风险监测子系统监控策略部署</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包括但不限于：配置告警规则、通知策略、升级策略；验证监控数据流入统一管理系统。</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（3）风险处置子系统脚本与编排发布</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包括但不限于：将经测试</w:t>
      </w:r>
      <w:r>
        <w:rPr>
          <w:rFonts w:hint="eastAsia" w:ascii="Times New Roman Regular" w:hAnsi="Times New Roman Regular" w:cs="Times New Roman Regular"/>
          <w:color w:val="000000"/>
          <w:sz w:val="24"/>
          <w:szCs w:val="24"/>
        </w:rPr>
        <w:t xml:space="preserve">通过</w:t>
      </w:r>
      <w:r>
        <w:rPr>
          <w:rFonts w:ascii="Times New Roman Regular" w:hAnsi="Times New Roman Regular" w:cs="Times New Roman Regular"/>
          <w:color w:val="000000"/>
          <w:sz w:val="24"/>
          <w:szCs w:val="24"/>
        </w:rPr>
        <w:t xml:space="preserve">的</w:t>
      </w:r>
      <w:r>
        <w:rPr>
          <w:rFonts w:hint="eastAsia" w:ascii="Times New Roman Regular" w:hAnsi="Times New Roman Regular" w:cs="Times New Roman Regular"/>
          <w:color w:val="000000"/>
          <w:sz w:val="24"/>
          <w:szCs w:val="24"/>
        </w:rPr>
        <w:t xml:space="preserve">部署</w:t>
      </w:r>
      <w:r>
        <w:rPr>
          <w:rFonts w:ascii="Times New Roman Regular" w:hAnsi="Times New Roman Regular" w:cs="Times New Roman Regular"/>
          <w:color w:val="000000"/>
          <w:sz w:val="24"/>
          <w:szCs w:val="24"/>
        </w:rPr>
        <w:t xml:space="preserve">脚本、</w:t>
      </w:r>
      <w:r>
        <w:rPr>
          <w:rFonts w:hint="eastAsia" w:ascii="Times New Roman Regular" w:hAnsi="Times New Roman Regular" w:cs="Times New Roman Regular"/>
          <w:color w:val="000000"/>
          <w:sz w:val="24"/>
          <w:szCs w:val="24"/>
        </w:rPr>
        <w:t xml:space="preserve">通过鲁班自动工具</w:t>
      </w:r>
      <w:r>
        <w:rPr>
          <w:rFonts w:ascii="Times New Roman Regular" w:hAnsi="Times New Roman Regular" w:cs="Times New Roman Regular"/>
          <w:color w:val="000000"/>
          <w:sz w:val="24"/>
          <w:szCs w:val="24"/>
        </w:rPr>
        <w:t xml:space="preserve">部署到正式环境；配置作业执行权限；配置通知规则；导入应急协同预案，设置触发条件与执行动作。</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（4）指挥调度子系统流程与预案上线</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包括但不限于：部署程序、打通</w:t>
      </w:r>
      <w:r>
        <w:rPr>
          <w:rFonts w:hint="eastAsia" w:ascii="Times New Roman Regular" w:hAnsi="Times New Roman Regular" w:cs="Times New Roman Regular"/>
          <w:color w:val="000000"/>
          <w:sz w:val="24"/>
          <w:szCs w:val="24"/>
        </w:rPr>
        <w:t xml:space="preserve">通知</w:t>
      </w:r>
      <w:r>
        <w:rPr>
          <w:rFonts w:ascii="Times New Roman Regular" w:hAnsi="Times New Roman Regular" w:cs="Times New Roman Regular"/>
          <w:color w:val="000000"/>
          <w:sz w:val="24"/>
          <w:szCs w:val="24"/>
        </w:rPr>
        <w:t xml:space="preserve">通道，并验证</w:t>
      </w:r>
      <w:r>
        <w:rPr>
          <w:rFonts w:hint="eastAsia" w:ascii="Times New Roman Regular" w:hAnsi="Times New Roman Regular" w:cs="Times New Roman Regular"/>
          <w:color w:val="000000"/>
          <w:sz w:val="24"/>
          <w:szCs w:val="24"/>
        </w:rPr>
        <w:t xml:space="preserve">报警发送</w:t>
      </w:r>
      <w:r>
        <w:rPr>
          <w:rFonts w:ascii="Times New Roman Regular" w:hAnsi="Times New Roman Regular" w:cs="Times New Roman Regular"/>
          <w:color w:val="000000"/>
          <w:sz w:val="24"/>
          <w:szCs w:val="24"/>
        </w:rPr>
        <w:t xml:space="preserve">成功。</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（5）数据一致性校验与备份</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包括但不限于：核对平台中对象数据与实际环境一致性；备份系统配置（如监控模板、脚本、流程定义等），以便回滚。</w:t>
      </w:r>
      <w:r/>
    </w:p>
    <w:p>
      <w:pPr>
        <w:ind w:firstLine="480"/>
        <w:jc w:val="left"/>
        <w:spacing w:line="400" w:lineRule="exact"/>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rPr>
        <w:t xml:space="preserve">（四）系统接入纳管阶段</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1、阶段目标</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通过试运行验证四个子系统在真实环境中的运行效果，收敛误报/漏报，固化运维流程，完成管理权移交，确保系统能够长期稳定地被统一运维管理。</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2、主要任务</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（1）数据准确性验证</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包括但不限于：对比系统监控数据与被管系统实际数据（如CPU使用率、内存占用），确保误差在可接受范围；验证告警准确率，确认告警能否按预期产生、通知到正确人员。</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（2）告警与处置流程演练</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包括但不限于：验证事件流程：触发告警后，工单是否自动生成、是否按设计流转到责任人、闭环是否完整。</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（3）应急预案演练</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包括但不限于：模拟重大故障启动应急协同预案，验证通知机制、人员响应、信息报送流程是否顺畅。</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（4）同步运行与问题收敛</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包括但不限于：原</w:t>
      </w:r>
      <w:r>
        <w:rPr>
          <w:rFonts w:hint="eastAsia" w:ascii="Times New Roman Regular" w:hAnsi="Times New Roman Regular" w:cs="Times New Roman Regular"/>
          <w:color w:val="000000"/>
          <w:sz w:val="24"/>
          <w:szCs w:val="24"/>
        </w:rPr>
        <w:t xml:space="preserve">监控</w:t>
      </w:r>
      <w:r>
        <w:rPr>
          <w:rFonts w:ascii="Times New Roman Regular" w:hAnsi="Times New Roman Regular" w:cs="Times New Roman Regular"/>
          <w:color w:val="000000"/>
          <w:sz w:val="24"/>
          <w:szCs w:val="24"/>
        </w:rPr>
        <w:t xml:space="preserve">方式与统一运维平台并行运行，双方记录发现问题</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汇总问题，及时优化</w:t>
      </w:r>
      <w:r>
        <w:rPr>
          <w:rFonts w:hint="eastAsia" w:ascii="Times New Roman Regular" w:hAnsi="Times New Roman Regular" w:cs="Times New Roman Regular"/>
          <w:color w:val="000000"/>
          <w:sz w:val="24"/>
          <w:szCs w:val="24"/>
        </w:rPr>
        <w:t xml:space="preserve">告警</w:t>
      </w:r>
      <w:r>
        <w:rPr>
          <w:rFonts w:ascii="Times New Roman Regular" w:hAnsi="Times New Roman Regular" w:cs="Times New Roman Regular"/>
          <w:color w:val="000000"/>
          <w:sz w:val="24"/>
          <w:szCs w:val="24"/>
        </w:rPr>
        <w:t xml:space="preserve">策略、告警阈值、收敛规则，直至误报率降至可接受水平。</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（5）管理权移交与正式运行</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包括但不限于：明确各项指标达成情况，组织正式移交会议，转入日常运维阶段。</w:t>
      </w:r>
      <w:r/>
    </w:p>
    <w:p>
      <w:pPr>
        <w:keepLines/>
        <w:keepNext/>
        <w:spacing w:before="320" w:after="200"/>
        <w:rPr>
          <w:rFonts w:ascii="Times New Roman Regular" w:hAnsi="Times New Roman Regular" w:cs="Times New Roman Regular"/>
          <w:b/>
          <w:bCs/>
          <w:sz w:val="24"/>
          <w:szCs w:val="24"/>
        </w:rPr>
        <w:outlineLvl w:val="1"/>
      </w:pPr>
      <w:r>
        <w:rPr>
          <w:rFonts w:hint="eastAsia" w:ascii="Times New Roman Regular" w:hAnsi="Times New Roman Regular" w:cs="Times New Roman Regular"/>
          <w:b/>
          <w:bCs/>
          <w:sz w:val="24"/>
          <w:szCs w:val="24"/>
        </w:rPr>
        <w:t xml:space="preserve">（四）</w:t>
      </w:r>
      <w:r>
        <w:rPr>
          <w:rFonts w:ascii="Times New Roman Regular" w:hAnsi="Times New Roman Regular" w:cs="Times New Roman Regular"/>
          <w:b/>
          <w:bCs/>
          <w:sz w:val="24"/>
          <w:szCs w:val="24"/>
        </w:rPr>
        <w:t xml:space="preserve">培训要求</w:t>
      </w:r>
      <w:r/>
    </w:p>
    <w:p>
      <w:pPr>
        <w:ind w:firstLine="480"/>
        <w:spacing w:line="400" w:lineRule="exact"/>
      </w:pPr>
      <w:r>
        <w:rPr>
          <w:rFonts w:ascii="Times New Roman Regular" w:hAnsi="Times New Roman Regular" w:cs="Times New Roman Regular"/>
          <w:color w:val="000000"/>
          <w:sz w:val="24"/>
          <w:szCs w:val="24"/>
        </w:rPr>
        <w:t xml:space="preserve">1、培训</w:t>
      </w:r>
      <w:r>
        <w:rPr>
          <w:rFonts w:hint="eastAsia" w:ascii="Times New Roman Regular" w:hAnsi="Times New Roman Regular" w:cs="Times New Roman Regular"/>
          <w:color w:val="000000"/>
          <w:sz w:val="24"/>
          <w:szCs w:val="24"/>
        </w:rPr>
        <w:t xml:space="preserve">计划</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在合同签订后根据实际进度，制定详细的培训方案和培训计划，经采购人审核确认后实施。培训计划应至少包括：培训目标、培训内容、培训对象、培训时间与地点、授课人员及资质、培训设施与材料等。培训计划可根据实际情况进行调整，但不得因此增加合同价款。</w:t>
      </w:r>
      <w:r/>
    </w:p>
    <w:p>
      <w:pPr>
        <w:ind w:firstLine="480"/>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2、培训内容</w:t>
      </w:r>
      <w:r/>
    </w:p>
    <w:p>
      <w:pPr>
        <w:ind w:firstLine="480"/>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中标</w:t>
      </w:r>
      <w:r>
        <w:rPr>
          <w:rFonts w:hint="eastAsia" w:ascii="Times New Roman Regular" w:hAnsi="Times New Roman Regular" w:cs="Times New Roman Regular"/>
          <w:color w:val="000000"/>
          <w:sz w:val="24"/>
          <w:szCs w:val="24"/>
          <w:lang w:val="en-US" w:eastAsia="zh-CN"/>
        </w:rPr>
        <w:t xml:space="preserve">人</w:t>
      </w:r>
      <w:r>
        <w:rPr>
          <w:rFonts w:hint="eastAsia" w:ascii="Times New Roman Regular" w:hAnsi="Times New Roman Regular" w:cs="Times New Roman Regular"/>
          <w:color w:val="000000"/>
          <w:sz w:val="24"/>
          <w:szCs w:val="24"/>
        </w:rPr>
        <w:t xml:space="preserve">应根据不同培训对象提供分层、有针对性的培训，主要包括以下内容：</w:t>
      </w:r>
      <w:r/>
    </w:p>
    <w:p>
      <w:pPr>
        <w:ind w:firstLine="480"/>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（1）系统操作培训：面向业务操作人员，包括系统功能使用、业务流程操作、日常业务处理等。</w:t>
      </w:r>
      <w:r/>
    </w:p>
    <w:p>
      <w:pPr>
        <w:ind w:firstLine="480"/>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（2）系统维护培训：面向技术人员，包括系统安装部署、日常监控与巡检、配置管理、故障诊断与排除、数据备份与恢复等。</w:t>
      </w:r>
      <w:r/>
    </w:p>
    <w:p>
      <w:pPr>
        <w:ind w:firstLine="480"/>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（3）安全培训：面向全体相关人员，包括信息安全意识、操作规范、保密要求等。</w:t>
      </w:r>
      <w:r/>
    </w:p>
    <w:p>
      <w:pPr>
        <w:ind w:firstLine="480"/>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中标</w:t>
      </w:r>
      <w:r>
        <w:rPr>
          <w:rFonts w:hint="eastAsia" w:ascii="Times New Roman Regular" w:hAnsi="Times New Roman Regular" w:cs="Times New Roman Regular"/>
          <w:color w:val="000000"/>
          <w:sz w:val="24"/>
          <w:szCs w:val="24"/>
          <w:lang w:val="en-US" w:eastAsia="zh-CN"/>
        </w:rPr>
        <w:t xml:space="preserve">人</w:t>
      </w:r>
      <w:r>
        <w:rPr>
          <w:rFonts w:hint="eastAsia" w:ascii="Times New Roman Regular" w:hAnsi="Times New Roman Regular" w:cs="Times New Roman Regular"/>
          <w:color w:val="000000"/>
          <w:sz w:val="24"/>
          <w:szCs w:val="24"/>
        </w:rPr>
        <w:t xml:space="preserve">应提供配套的培训资料，包括但不限于用户手册、系统维护手册、安装调试文档、操作视频等，所有培训资料及授课语言须为中文。</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3、培训方式</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培训可采用以下方式相结合：</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（1）现场实操：结合系统安装、调试、运维等实际工作场景进行现场指导和操作演练。</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（2）远程培训：提供网络会议、视频课件等在线培训方式，便于人员持续学习。</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（3）培训师资应由具备相应资质认证和丰富实践经验的专业人员担任。</w:t>
      </w:r>
      <w:r/>
    </w:p>
    <w:p>
      <w:pPr>
        <w:ind w:firstLine="480"/>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4、培训效果评估</w:t>
      </w:r>
      <w:r/>
    </w:p>
    <w:p>
      <w:pPr>
        <w:ind w:firstLine="480"/>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中标供应商应建立多维度的培训效果评估机制，不设置书面考试或强制性上机考核，而是通过互动问答、跟岗验证、反向讲授验证、训后跟踪反馈等相结合的形式进行综合评估。</w:t>
      </w:r>
      <w:r/>
    </w:p>
    <w:p>
      <w:pPr>
        <w:ind w:firstLine="480"/>
        <w:spacing w:line="400" w:lineRule="exact"/>
      </w:pPr>
      <w:r>
        <w:rPr>
          <w:rFonts w:hint="eastAsia" w:ascii="Times New Roman Regular" w:hAnsi="Times New Roman Regular" w:cs="Times New Roman Regular"/>
          <w:color w:val="000000"/>
          <w:sz w:val="24"/>
          <w:szCs w:val="24"/>
        </w:rPr>
        <w:t xml:space="preserve">说明：以上培训所涉及的全部费用（含师资、教材、场地等）已包含在合同总价中，采购人不再另行支付。</w:t>
      </w:r>
      <w:r/>
    </w:p>
    <w:p>
      <w:pPr>
        <w:keepLines/>
        <w:keepNext/>
        <w:spacing w:before="320" w:after="200"/>
        <w:rPr>
          <w:rFonts w:ascii="Times New Roman Regular" w:hAnsi="Times New Roman Regular" w:cs="Times New Roman Regular"/>
          <w:b/>
          <w:bCs/>
          <w:sz w:val="24"/>
          <w:szCs w:val="24"/>
        </w:rPr>
        <w:outlineLvl w:val="1"/>
      </w:pPr>
      <w:r>
        <w:rPr>
          <w:rFonts w:ascii="Times New Roman Regular" w:hAnsi="Times New Roman Regular" w:cs="Times New Roman Regular"/>
          <w:b/>
          <w:bCs/>
          <w:sz w:val="24"/>
          <w:szCs w:val="24"/>
        </w:rPr>
        <w:t xml:space="preserve">（</w:t>
      </w:r>
      <w:r>
        <w:rPr>
          <w:rFonts w:hint="eastAsia" w:ascii="Times New Roman Regular" w:hAnsi="Times New Roman Regular" w:cs="Times New Roman Regular"/>
          <w:b/>
          <w:bCs/>
          <w:sz w:val="24"/>
          <w:szCs w:val="24"/>
        </w:rPr>
        <w:t xml:space="preserve">五</w:t>
      </w:r>
      <w:r>
        <w:rPr>
          <w:rFonts w:ascii="Times New Roman Regular" w:hAnsi="Times New Roman Regular" w:cs="Times New Roman Regular"/>
          <w:b/>
          <w:bCs/>
          <w:sz w:val="24"/>
          <w:szCs w:val="24"/>
        </w:rPr>
        <w:t xml:space="preserve">）实施要求</w:t>
      </w:r>
      <w:r/>
    </w:p>
    <w:p>
      <w:pPr>
        <w:ind w:firstLine="480"/>
        <w:jc w:val="left"/>
        <w:spacing w:line="400" w:lineRule="exact"/>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rPr>
        <w:t xml:space="preserve">1、项目管理要求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须制定详尽的项目管理办法，组建专门的项目管理团队，明确专人负责，严格落实项目全流程管控，确保项目按时按质推进，切实保障实施质量、进度与安全。</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2）项目管理要求达到以下两个目标：</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①进度目标，确保项目在预定的时间内完成；</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②质量目标，项目达到投标要求，并按要求提交相关运维成果。</w:t>
      </w:r>
      <w:r/>
    </w:p>
    <w:p>
      <w:pPr>
        <w:ind w:firstLine="480"/>
        <w:jc w:val="left"/>
        <w:spacing w:line="400" w:lineRule="exact"/>
        <w:rPr>
          <w:rFonts w:ascii="Times New Roman Regular" w:hAnsi="Times New Roman Regular" w:cs="Times New Roman Regular"/>
          <w:color w:val="000000"/>
          <w:sz w:val="24"/>
          <w:szCs w:val="24"/>
        </w:rPr>
      </w:pPr>
      <w:r>
        <w:rPr>
          <w:rFonts w:ascii="Calibri" w:hAnsi="Calibri" w:cs="Calibri"/>
          <w:color w:val="000000"/>
          <w:sz w:val="24"/>
          <w:szCs w:val="24"/>
        </w:rPr>
        <w:t xml:space="preserve">③</w:t>
      </w:r>
      <w:r>
        <w:rPr>
          <w:rFonts w:hint="eastAsia" w:ascii="Times New Roman Regular" w:hAnsi="Times New Roman Regular" w:cs="Times New Roman Regular"/>
          <w:color w:val="000000"/>
          <w:sz w:val="24"/>
          <w:szCs w:val="24"/>
        </w:rPr>
        <w:t xml:space="preserve">安全目标，项目实施全过程需严格遵循系统数据安全、密码应用及公共数据全生命周期安全要求。</w:t>
      </w:r>
      <w:r/>
    </w:p>
    <w:p>
      <w:pPr>
        <w:ind w:firstLine="480"/>
        <w:jc w:val="left"/>
        <w:spacing w:line="400" w:lineRule="exact"/>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rPr>
        <w:t xml:space="preserve">2、质量要求</w:t>
      </w:r>
      <w:r/>
    </w:p>
    <w:p>
      <w:pPr>
        <w:ind w:firstLine="480"/>
        <w:jc w:val="left"/>
        <w:spacing w:line="400" w:lineRule="exact"/>
        <w:rPr>
          <w:rFonts w:hint="eastAsia" w:ascii="Times New Roman Regular" w:hAnsi="Times New Roman Regular" w:eastAsia="宋体" w:cs="Times New Roman Regular"/>
          <w:color w:val="000000"/>
          <w:sz w:val="24"/>
          <w:szCs w:val="24"/>
          <w:lang w:val="en-US" w:eastAsia="zh-CN"/>
        </w:rPr>
      </w:pPr>
      <w:r>
        <w:rPr>
          <w:rFonts w:ascii="Times New Roman Regular" w:hAnsi="Times New Roman Regular" w:cs="Times New Roman Regular"/>
          <w:color w:val="000000"/>
          <w:sz w:val="24"/>
          <w:szCs w:val="24"/>
        </w:rPr>
        <w:t xml:space="preserve">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提供的服务质量应当符合投标文件的响应内容。</w:t>
      </w:r>
      <w:r>
        <w:rPr>
          <w:rFonts w:hint="eastAsia" w:ascii="Times New Roman Regular" w:hAnsi="Times New Roman Regular" w:eastAsia="宋体" w:cs="Times New Roman Regular"/>
          <w:color w:val="000000"/>
          <w:sz w:val="24"/>
          <w:szCs w:val="24"/>
          <w:lang w:val="en-US" w:eastAsia="zh-CN"/>
        </w:rPr>
        <w:t xml:space="preserve">包括但不限于：</w:t>
      </w:r>
      <w:r/>
    </w:p>
    <w:p>
      <w:pPr>
        <w:numPr>
          <w:ilvl w:val="0"/>
          <w:numId w:val="7"/>
        </w:numPr>
        <w:ind w:firstLine="480"/>
        <w:jc w:val="left"/>
        <w:spacing w:line="400" w:lineRule="exact"/>
        <w:rPr>
          <w:rFonts w:hint="default" w:ascii="Times New Roman Regular" w:hAnsi="Times New Roman Regular" w:eastAsia="宋体" w:cs="Times New Roman Regular"/>
          <w:color w:val="000000"/>
          <w:sz w:val="24"/>
          <w:szCs w:val="24"/>
        </w:rPr>
      </w:pPr>
      <w:r>
        <w:rPr>
          <w:rFonts w:hint="default" w:ascii="Times New Roman Regular" w:hAnsi="Times New Roman Regular" w:eastAsia="宋体" w:cs="Times New Roman Regular"/>
          <w:color w:val="000000"/>
          <w:sz w:val="24"/>
          <w:szCs w:val="24"/>
        </w:rPr>
        <w:t xml:space="preserve">任何生产环境变更（含软件升级、补丁更新、配置调整）须提前向</w:t>
      </w:r>
      <w:r>
        <w:rPr>
          <w:rFonts w:hint="eastAsia" w:ascii="Times New Roman Regular" w:hAnsi="Times New Roman Regular" w:eastAsia="宋体" w:cs="Times New Roman Regular"/>
          <w:color w:val="000000"/>
          <w:sz w:val="24"/>
          <w:szCs w:val="24"/>
          <w:lang w:val="en-US" w:eastAsia="zh-CN"/>
        </w:rPr>
        <w:t xml:space="preserve">采购人</w:t>
      </w:r>
      <w:r>
        <w:rPr>
          <w:rFonts w:hint="default" w:ascii="Times New Roman Regular" w:hAnsi="Times New Roman Regular" w:eastAsia="宋体" w:cs="Times New Roman Regular"/>
          <w:color w:val="000000"/>
          <w:sz w:val="24"/>
          <w:szCs w:val="24"/>
        </w:rPr>
        <w:t xml:space="preserve">提交《变更申请单》，经</w:t>
      </w:r>
      <w:r>
        <w:rPr>
          <w:rFonts w:hint="eastAsia" w:ascii="Times New Roman Regular" w:hAnsi="Times New Roman Regular" w:cs="Times New Roman Regular"/>
          <w:color w:val="000000"/>
          <w:sz w:val="24"/>
          <w:szCs w:val="24"/>
          <w:lang w:val="en-US" w:eastAsia="zh-CN"/>
        </w:rPr>
        <w:t xml:space="preserve">采购人</w:t>
      </w:r>
      <w:r>
        <w:rPr>
          <w:rFonts w:hint="default" w:ascii="Times New Roman Regular" w:hAnsi="Times New Roman Regular" w:eastAsia="宋体" w:cs="Times New Roman Regular"/>
          <w:color w:val="000000"/>
          <w:sz w:val="24"/>
          <w:szCs w:val="24"/>
        </w:rPr>
        <w:t xml:space="preserve">书面批准后方可实施，重大变更须在业务低谷期进行。</w:t>
      </w:r>
      <w:r/>
    </w:p>
    <w:p>
      <w:pPr>
        <w:numPr>
          <w:ilvl w:val="0"/>
          <w:numId w:val="7"/>
        </w:numPr>
        <w:ind w:firstLine="480"/>
        <w:jc w:val="left"/>
        <w:spacing w:line="400" w:lineRule="exact"/>
        <w:rPr>
          <w:rFonts w:hint="default" w:ascii="Times New Roman Regular" w:hAnsi="Times New Roman Regular" w:eastAsia="宋体" w:cs="Times New Roman Regular"/>
          <w:color w:val="000000"/>
          <w:sz w:val="24"/>
          <w:szCs w:val="24"/>
        </w:rPr>
      </w:pPr>
      <w:r>
        <w:rPr>
          <w:rFonts w:hint="default" w:ascii="Times New Roman Regular" w:hAnsi="Times New Roman Regular" w:eastAsia="宋体" w:cs="Times New Roman Regular"/>
          <w:color w:val="000000"/>
          <w:sz w:val="24"/>
          <w:szCs w:val="24"/>
        </w:rPr>
        <w:t xml:space="preserve">故障或服务请求处理完成后，</w:t>
      </w:r>
      <w:r>
        <w:rPr>
          <w:rFonts w:hint="eastAsia" w:ascii="Times New Roman Regular" w:hAnsi="Times New Roman Regular" w:eastAsia="宋体" w:cs="Times New Roman Regular"/>
          <w:color w:val="000000"/>
          <w:sz w:val="24"/>
          <w:szCs w:val="24"/>
          <w:lang w:val="en-US" w:eastAsia="zh-CN"/>
        </w:rPr>
        <w:t xml:space="preserve">中标人</w:t>
      </w:r>
      <w:r>
        <w:rPr>
          <w:rFonts w:hint="default" w:ascii="Times New Roman Regular" w:hAnsi="Times New Roman Regular" w:eastAsia="宋体" w:cs="Times New Roman Regular"/>
          <w:color w:val="000000"/>
          <w:sz w:val="24"/>
          <w:szCs w:val="24"/>
        </w:rPr>
        <w:t xml:space="preserve">须</w:t>
      </w:r>
      <w:r>
        <w:rPr>
          <w:rFonts w:hint="eastAsia" w:ascii="Times New Roman Regular" w:hAnsi="Times New Roman Regular" w:eastAsia="宋体" w:cs="Times New Roman Regular"/>
          <w:color w:val="000000"/>
          <w:sz w:val="24"/>
          <w:szCs w:val="24"/>
          <w:lang w:val="en-US" w:eastAsia="zh-CN"/>
        </w:rPr>
        <w:t xml:space="preserve">及时</w:t>
      </w:r>
      <w:r>
        <w:rPr>
          <w:rFonts w:hint="default" w:ascii="Times New Roman Regular" w:hAnsi="Times New Roman Regular" w:eastAsia="宋体" w:cs="Times New Roman Regular"/>
          <w:color w:val="000000"/>
          <w:sz w:val="24"/>
          <w:szCs w:val="24"/>
        </w:rPr>
        <w:t xml:space="preserve">进行电话或邮件回访，确认系统恢复后的运行状态，回访记录须存档备查。</w:t>
      </w:r>
      <w:r/>
    </w:p>
    <w:p>
      <w:pPr>
        <w:numPr>
          <w:ilvl w:val="0"/>
          <w:numId w:val="7"/>
        </w:numPr>
        <w:ind w:firstLine="480"/>
        <w:jc w:val="left"/>
        <w:spacing w:line="400" w:lineRule="exact"/>
        <w:rPr>
          <w:rFonts w:hint="default" w:ascii="Times New Roman Regular" w:hAnsi="Times New Roman Regular" w:eastAsia="宋体" w:cs="Times New Roman Regular"/>
          <w:color w:val="000000"/>
          <w:sz w:val="24"/>
          <w:szCs w:val="24"/>
        </w:rPr>
      </w:pPr>
      <w:r>
        <w:rPr>
          <w:rFonts w:hint="eastAsia" w:ascii="Times New Roman Regular" w:hAnsi="Times New Roman Regular" w:eastAsia="宋体" w:cs="Times New Roman Regular"/>
          <w:color w:val="000000"/>
          <w:sz w:val="24"/>
          <w:szCs w:val="24"/>
          <w:lang w:val="en-US" w:eastAsia="zh-CN"/>
        </w:rPr>
        <w:t xml:space="preserve">中标人</w:t>
      </w:r>
      <w:r>
        <w:rPr>
          <w:rFonts w:hint="default" w:ascii="Times New Roman Regular" w:hAnsi="Times New Roman Regular" w:eastAsia="宋体" w:cs="Times New Roman Regular"/>
          <w:color w:val="000000"/>
          <w:sz w:val="24"/>
          <w:szCs w:val="24"/>
        </w:rPr>
        <w:t xml:space="preserve">提交的所有运维报告、应急预案及操作手册，须包含详细的命令脚本、截图示例及验证步骤。</w:t>
      </w:r>
      <w:r>
        <w:rPr>
          <w:rFonts w:hint="eastAsia" w:ascii="Times New Roman Regular" w:hAnsi="Times New Roman Regular" w:eastAsia="宋体" w:cs="Times New Roman Regular"/>
          <w:color w:val="000000"/>
          <w:sz w:val="24"/>
          <w:szCs w:val="24"/>
          <w:lang w:val="en-US" w:eastAsia="zh-CN"/>
        </w:rPr>
        <w:t xml:space="preserve">采购人</w:t>
      </w:r>
      <w:r>
        <w:rPr>
          <w:rFonts w:hint="default" w:ascii="Times New Roman Regular" w:hAnsi="Times New Roman Regular" w:eastAsia="宋体" w:cs="Times New Roman Regular"/>
          <w:color w:val="000000"/>
          <w:sz w:val="24"/>
          <w:szCs w:val="24"/>
        </w:rPr>
        <w:t xml:space="preserve">依据该文档可实现独立复现操作，不得仅提供理论性描述或笼统流程。</w:t>
      </w:r>
      <w:r/>
    </w:p>
    <w:p>
      <w:pPr>
        <w:numPr>
          <w:ilvl w:val="0"/>
          <w:numId w:val="7"/>
        </w:numPr>
        <w:ind w:firstLine="480"/>
        <w:jc w:val="left"/>
        <w:spacing w:line="400" w:lineRule="exact"/>
        <w:rPr>
          <w:rFonts w:hint="eastAsia" w:ascii="Times New Roman Regular" w:hAnsi="Times New Roman Regular" w:eastAsia="宋体" w:cs="Times New Roman Regular"/>
          <w:color w:val="000000"/>
          <w:sz w:val="24"/>
          <w:szCs w:val="24"/>
          <w:lang w:val="en-US" w:eastAsia="zh-CN"/>
        </w:rPr>
      </w:pPr>
      <w:r>
        <w:rPr>
          <w:rFonts w:hint="eastAsia" w:ascii="Times New Roman Regular" w:hAnsi="Times New Roman Regular" w:eastAsia="宋体" w:cs="Times New Roman Regular"/>
          <w:color w:val="000000"/>
          <w:sz w:val="24"/>
          <w:szCs w:val="24"/>
          <w:lang w:val="en-US" w:eastAsia="zh-CN"/>
        </w:rPr>
        <w:t xml:space="preserve">其余服务事项均以考核要求为准。</w:t>
      </w:r>
      <w:r/>
    </w:p>
    <w:p>
      <w:pPr>
        <w:ind w:firstLine="480"/>
        <w:jc w:val="left"/>
        <w:spacing w:line="400" w:lineRule="exact"/>
        <w:rPr>
          <w:rFonts w:ascii="Times New Roman Regular" w:hAnsi="Times New Roman Regular" w:cs="Times New Roman Regular"/>
          <w:b/>
          <w:bCs/>
          <w:color w:val="000000"/>
          <w:sz w:val="24"/>
          <w:szCs w:val="24"/>
        </w:rPr>
      </w:pPr>
      <w:r>
        <w:rPr>
          <w:rFonts w:hint="eastAsia" w:ascii="Times New Roman Regular" w:hAnsi="Times New Roman Regular" w:cs="Times New Roman Regular"/>
          <w:b/>
          <w:bCs/>
          <w:color w:val="000000"/>
          <w:sz w:val="24"/>
          <w:szCs w:val="24"/>
        </w:rPr>
        <w:t xml:space="preserve">3</w:t>
      </w:r>
      <w:r>
        <w:rPr>
          <w:rFonts w:ascii="Times New Roman Regular" w:hAnsi="Times New Roman Regular" w:cs="Times New Roman Regular"/>
          <w:b/>
          <w:bCs/>
          <w:color w:val="000000"/>
          <w:sz w:val="24"/>
          <w:szCs w:val="24"/>
        </w:rPr>
        <w:t xml:space="preserve">、验收要求</w:t>
      </w:r>
      <w:r/>
    </w:p>
    <w:p>
      <w:pPr>
        <w:ind w:firstLine="480"/>
        <w:jc w:val="left"/>
        <w:spacing w:line="400" w:lineRule="exact"/>
        <w:rPr>
          <w:rFonts w:ascii="Times New Roman Regular" w:hAnsi="Times New Roman Regular" w:cs="Times New Roman Regular"/>
        </w:rPr>
      </w:pPr>
      <w:r>
        <w:rPr>
          <w:rFonts w:ascii="Times New Roman Regular" w:hAnsi="Times New Roman Regular" w:cs="Times New Roman Regular"/>
          <w:color w:val="000000"/>
          <w:sz w:val="24"/>
          <w:szCs w:val="24"/>
        </w:rPr>
        <w:t xml:space="preserve">项目交付需在合同约定时间内，完成服务范围内界定的全部工作，确保系统符合项目目标及相应技术要求、业务需求，并保持稳定良好运行，最终由采购人组织验收。</w:t>
      </w:r>
      <w:r/>
    </w:p>
    <w:p>
      <w:pPr>
        <w:ind w:firstLine="480"/>
        <w:jc w:val="left"/>
        <w:spacing w:line="400" w:lineRule="exact"/>
        <w:rPr>
          <w:rFonts w:ascii="Times New Roman Regular" w:hAnsi="Times New Roman Regular" w:cs="Times New Roman Regular"/>
          <w:b/>
          <w:bCs/>
          <w:color w:val="000000"/>
          <w:sz w:val="24"/>
          <w:szCs w:val="24"/>
        </w:rPr>
      </w:pPr>
      <w:r>
        <w:rPr>
          <w:rFonts w:hint="eastAsia" w:ascii="Times New Roman Regular" w:hAnsi="Times New Roman Regular" w:cs="Times New Roman Regular"/>
          <w:b/>
          <w:bCs/>
          <w:color w:val="000000"/>
          <w:sz w:val="24"/>
          <w:szCs w:val="24"/>
        </w:rPr>
        <w:t xml:space="preserve">4</w:t>
      </w:r>
      <w:r>
        <w:rPr>
          <w:rFonts w:ascii="Times New Roman Regular" w:hAnsi="Times New Roman Regular" w:cs="Times New Roman Regular"/>
          <w:b/>
          <w:bCs/>
          <w:color w:val="000000"/>
          <w:sz w:val="24"/>
          <w:szCs w:val="24"/>
        </w:rPr>
        <w:t xml:space="preserve">、权利保证</w:t>
      </w:r>
      <w:r/>
    </w:p>
    <w:p>
      <w:pPr>
        <w:ind w:firstLine="480"/>
        <w:jc w:val="left"/>
        <w:spacing w:line="400" w:lineRule="exact"/>
        <w:rPr>
          <w:rFonts w:ascii="Times New Roman Regular" w:hAnsi="Times New Roman Regular" w:cs="Times New Roman Regular"/>
        </w:rPr>
      </w:pPr>
      <w:r>
        <w:rPr>
          <w:rFonts w:ascii="Times New Roman Regular" w:hAnsi="Times New Roman Regular" w:cs="Times New Roman Regular"/>
          <w:color w:val="000000"/>
          <w:sz w:val="24"/>
          <w:szCs w:val="24"/>
        </w:rPr>
        <w:t xml:space="preserve">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需确保采购人在使用本项目服务或其任一组成部分时，不会因第三方主张其专利权、版权、商标权或其他合法权利而面临起诉。若发生侵权情形，中标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应承担全部责任。</w:t>
      </w:r>
      <w:r/>
    </w:p>
    <w:p>
      <w:pPr>
        <w:ind w:firstLine="480"/>
        <w:jc w:val="left"/>
        <w:spacing w:line="400" w:lineRule="exact"/>
        <w:rPr>
          <w:rFonts w:ascii="Times New Roman Regular" w:hAnsi="Times New Roman Regular" w:cs="Times New Roman Regular"/>
          <w:b/>
          <w:bCs/>
          <w:color w:val="000000"/>
          <w:sz w:val="24"/>
          <w:szCs w:val="24"/>
        </w:rPr>
      </w:pPr>
      <w:r>
        <w:rPr>
          <w:rFonts w:hint="eastAsia" w:ascii="Times New Roman Regular" w:hAnsi="Times New Roman Regular" w:cs="Times New Roman Regular"/>
          <w:b/>
          <w:bCs/>
          <w:color w:val="000000"/>
          <w:sz w:val="24"/>
          <w:szCs w:val="24"/>
        </w:rPr>
        <w:t xml:space="preserve">5</w:t>
      </w:r>
      <w:r>
        <w:rPr>
          <w:rFonts w:ascii="Times New Roman Regular" w:hAnsi="Times New Roman Regular" w:cs="Times New Roman Regular"/>
          <w:b/>
          <w:bCs/>
          <w:color w:val="000000"/>
          <w:sz w:val="24"/>
          <w:szCs w:val="24"/>
        </w:rPr>
        <w:t xml:space="preserve">、保密要求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对于</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及网信办在系统建设与运维过程中提出的保密、安全等要求，中标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须严格遵守并落实相关工作。中标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（含其工作人员及派遣人员）须对履行本合同过程中知悉的</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保密信息（包括但不限于财务信息、技术信息、人员信息、项目信息等）承担保密义务，未经</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书面同意，不得向任何第三方披露相关信息。若中标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人员违反上述保密义务，由中标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承担全部责任；若违约金不足以弥补</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损失，中标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应继续承担赔偿责任。中标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为履行本项目合同向</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交付的工作成果，其所有权及知识产权均归</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所有，未经</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书面同意，中标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不得擅自对该工作成果进行任何处分（包括但不限于使用、许可他人使用、转让、出租、出借、买卖、对外披露等）。</w:t>
      </w:r>
      <w:r/>
    </w:p>
    <w:p>
      <w:pPr>
        <w:ind w:firstLine="480"/>
        <w:jc w:val="left"/>
        <w:spacing w:line="400" w:lineRule="exact"/>
        <w:rPr>
          <w:rFonts w:ascii="Times New Roman Regular" w:hAnsi="Times New Roman Regular" w:cs="Times New Roman Regular"/>
          <w:b/>
          <w:bCs/>
          <w:color w:val="000000"/>
          <w:sz w:val="24"/>
          <w:szCs w:val="24"/>
        </w:rPr>
      </w:pPr>
      <w:r>
        <w:rPr>
          <w:rFonts w:hint="eastAsia" w:ascii="Times New Roman Regular" w:hAnsi="Times New Roman Regular" w:cs="Times New Roman Regular"/>
          <w:b/>
          <w:bCs/>
          <w:color w:val="000000"/>
          <w:sz w:val="24"/>
          <w:szCs w:val="24"/>
        </w:rPr>
        <w:t xml:space="preserve">6</w:t>
      </w:r>
      <w:r>
        <w:rPr>
          <w:rFonts w:ascii="Times New Roman Regular" w:hAnsi="Times New Roman Regular" w:cs="Times New Roman Regular"/>
          <w:b/>
          <w:bCs/>
          <w:color w:val="000000"/>
          <w:sz w:val="24"/>
          <w:szCs w:val="24"/>
        </w:rPr>
        <w:t xml:space="preserve">、</w:t>
      </w:r>
      <w:r>
        <w:rPr>
          <w:rFonts w:hint="eastAsia" w:ascii="Times New Roman Regular" w:hAnsi="Times New Roman Regular" w:cs="Times New Roman Regular"/>
          <w:b/>
          <w:bCs/>
          <w:color w:val="000000"/>
          <w:sz w:val="24"/>
          <w:szCs w:val="24"/>
        </w:rPr>
        <w:t xml:space="preserve">团队人员</w:t>
      </w:r>
      <w:r>
        <w:rPr>
          <w:rFonts w:ascii="Times New Roman Regular" w:hAnsi="Times New Roman Regular" w:cs="Times New Roman Regular"/>
          <w:b/>
          <w:bCs/>
          <w:color w:val="000000"/>
          <w:sz w:val="24"/>
          <w:szCs w:val="24"/>
        </w:rPr>
        <w:t xml:space="preserve">要求</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（一）运维服务人员要求</w:t>
      </w:r>
      <w:r/>
    </w:p>
    <w:p>
      <w:pPr>
        <w:ind w:firstLine="480"/>
        <w:jc w:val="left"/>
        <w:spacing w:line="400" w:lineRule="exact"/>
        <w:rPr>
          <w:rFonts w:ascii="Times New Roman Regular" w:hAnsi="Times New Roman Regular" w:cs="Times New Roman Regular"/>
          <w:i/>
          <w:iCs/>
          <w:color w:val="000000"/>
          <w:sz w:val="24"/>
          <w:szCs w:val="24"/>
          <w:u w:val="single"/>
        </w:rPr>
      </w:pPr>
      <w:r>
        <w:rPr>
          <w:rFonts w:ascii="Times New Roman Regular" w:hAnsi="Times New Roman Regular" w:cs="Times New Roman Regular"/>
          <w:i/>
          <w:iCs/>
          <w:color w:val="000000"/>
          <w:sz w:val="24"/>
          <w:szCs w:val="24"/>
          <w:u w:val="single"/>
        </w:rPr>
        <w:t xml:space="preserve">中标</w:t>
      </w:r>
      <w:r>
        <w:rPr>
          <w:rFonts w:hint="eastAsia" w:ascii="Times New Roman Regular" w:hAnsi="Times New Roman Regular" w:cs="Times New Roman Regular"/>
          <w:i/>
          <w:iCs/>
          <w:color w:val="000000"/>
          <w:sz w:val="24"/>
          <w:szCs w:val="24"/>
          <w:u w:val="single"/>
          <w:lang w:val="en-US" w:eastAsia="zh-CN"/>
        </w:rPr>
        <w:t xml:space="preserve">人</w:t>
      </w:r>
      <w:r>
        <w:rPr>
          <w:rFonts w:ascii="Times New Roman Regular" w:hAnsi="Times New Roman Regular" w:cs="Times New Roman Regular"/>
          <w:i/>
          <w:iCs/>
          <w:color w:val="000000"/>
          <w:sz w:val="24"/>
          <w:szCs w:val="24"/>
          <w:u w:val="single"/>
        </w:rPr>
        <w:t xml:space="preserve">对本项目配备的实施团队不少于20人</w:t>
      </w:r>
      <w:r>
        <w:rPr>
          <w:rFonts w:hint="eastAsia" w:ascii="Times New Roman Regular" w:hAnsi="Times New Roman Regular" w:cs="Times New Roman Regular"/>
          <w:i/>
          <w:iCs/>
          <w:color w:val="000000"/>
          <w:sz w:val="24"/>
          <w:szCs w:val="24"/>
          <w:u w:val="single"/>
        </w:rPr>
        <w:t xml:space="preserve">，其中</w:t>
      </w:r>
      <w:r>
        <w:rPr>
          <w:rFonts w:hint="eastAsia"/>
        </w:rPr>
        <w:t xml:space="preserve">，</w:t>
      </w:r>
      <w:r>
        <w:rPr>
          <w:rFonts w:hint="eastAsia" w:ascii="Times New Roman Regular" w:hAnsi="Times New Roman Regular" w:cs="Times New Roman Regular"/>
          <w:i/>
          <w:iCs/>
          <w:color w:val="000000"/>
          <w:sz w:val="24"/>
          <w:szCs w:val="24"/>
          <w:u w:val="single"/>
        </w:rPr>
        <w:t xml:space="preserve">提供不少于11人驻场运维</w:t>
      </w:r>
      <w:r>
        <w:rPr>
          <w:rFonts w:ascii="Times New Roman Regular" w:hAnsi="Times New Roman Regular" w:cs="Times New Roman Regular"/>
          <w:i/>
          <w:iCs/>
          <w:color w:val="000000"/>
          <w:sz w:val="24"/>
          <w:szCs w:val="24"/>
          <w:u w:val="single"/>
        </w:rPr>
        <w:t xml:space="preserve">。</w:t>
      </w:r>
      <w:r>
        <w:rPr>
          <w:rFonts w:hint="eastAsia" w:ascii="Times New Roman Regular" w:hAnsi="Times New Roman Regular" w:cs="Times New Roman Regular"/>
          <w:i/>
          <w:iCs/>
          <w:color w:val="000000"/>
          <w:sz w:val="24"/>
          <w:szCs w:val="24"/>
          <w:u w:val="single"/>
        </w:rPr>
        <w:t xml:space="preserve">（提供承诺函，格式自拟）</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其中至少包括：</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（1）</w:t>
      </w:r>
      <w:r>
        <w:rPr>
          <w:rFonts w:ascii="Times New Roman Regular" w:hAnsi="Times New Roman Regular" w:cs="Times New Roman Regular"/>
          <w:color w:val="000000"/>
          <w:sz w:val="24"/>
          <w:szCs w:val="24"/>
        </w:rPr>
        <w:t xml:space="preserve">项目总负责人</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1名</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，具备信息系统项目管理师（高级）（人社部与工信部联合颁发）、系统分析师（高级）（人社部与工信部联合颁发）</w:t>
      </w:r>
      <w:r>
        <w:rPr>
          <w:rFonts w:hint="eastAsia" w:ascii="Times New Roman Regular" w:hAnsi="Times New Roman Regular" w:cs="Times New Roman Regular"/>
          <w:color w:val="000000"/>
          <w:sz w:val="24"/>
          <w:szCs w:val="24"/>
        </w:rPr>
        <w:t xml:space="preserve">证书。</w:t>
      </w:r>
      <w:r/>
    </w:p>
    <w:p>
      <w:pPr>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具体职责：</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对运维服务结果负全责，确保各项服务承诺的达成</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负责日常指挥与协调，快速仲裁、推动问题解决</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负责团队建设与资源管理，以及运维相关预算的审核与控制。</w:t>
      </w:r>
      <w:r/>
    </w:p>
    <w:p>
      <w:pPr>
        <w:ind w:firstLine="480"/>
        <w:jc w:val="left"/>
        <w:spacing w:line="400" w:lineRule="exact"/>
        <w:rPr>
          <w:rFonts w:hint="eastAsia"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（2）</w:t>
      </w:r>
      <w:r>
        <w:rPr>
          <w:rFonts w:ascii="Times New Roman Regular" w:hAnsi="Times New Roman Regular" w:cs="Times New Roman Regular"/>
          <w:color w:val="000000"/>
          <w:sz w:val="24"/>
          <w:szCs w:val="24"/>
        </w:rPr>
        <w:t xml:space="preserve">项目技术负责人（1名），具备系统规划与管理师证书（高级）（人社部与工信部联合颁发）、数据库系统工程师（中级）（人社部与工信部联合颁发）</w:t>
      </w:r>
      <w:r>
        <w:rPr>
          <w:rFonts w:hint="eastAsia" w:ascii="Times New Roman Regular" w:hAnsi="Times New Roman Regular" w:cs="Times New Roman Regular"/>
          <w:color w:val="000000"/>
          <w:sz w:val="24"/>
          <w:szCs w:val="24"/>
        </w:rPr>
        <w:t xml:space="preserve">证书。                                 具体职责：</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全面负责技术团队的工作规划、任务分配与进度管理</w:t>
      </w:r>
      <w:r>
        <w:rPr>
          <w:rFonts w:hint="eastAsia" w:ascii="Times New Roman Regular" w:hAnsi="Times New Roman Regular" w:cs="Times New Roman Regular"/>
          <w:color w:val="000000"/>
          <w:sz w:val="24"/>
          <w:szCs w:val="24"/>
        </w:rPr>
        <w:t xml:space="preserve">；负责</w:t>
      </w:r>
      <w:r>
        <w:rPr>
          <w:rFonts w:ascii="Times New Roman Regular" w:hAnsi="Times New Roman Regular" w:cs="Times New Roman Regular"/>
          <w:color w:val="000000"/>
          <w:sz w:val="24"/>
          <w:szCs w:val="24"/>
        </w:rPr>
        <w:t xml:space="preserve">与客户及上级进行</w:t>
      </w:r>
      <w:r>
        <w:rPr>
          <w:rFonts w:hint="eastAsia" w:ascii="Times New Roman Regular" w:hAnsi="Times New Roman Regular" w:cs="Times New Roman Regular"/>
          <w:color w:val="000000"/>
          <w:sz w:val="24"/>
          <w:szCs w:val="24"/>
        </w:rPr>
        <w:t xml:space="preserve">技术</w:t>
      </w:r>
      <w:r>
        <w:rPr>
          <w:rFonts w:ascii="Times New Roman Regular" w:hAnsi="Times New Roman Regular" w:cs="Times New Roman Regular"/>
          <w:color w:val="000000"/>
          <w:sz w:val="24"/>
          <w:szCs w:val="24"/>
        </w:rPr>
        <w:t xml:space="preserve">沟通协调</w:t>
      </w:r>
      <w:r>
        <w:rPr>
          <w:rFonts w:hint="eastAsia" w:ascii="Times New Roman Regular" w:hAnsi="Times New Roman Regular" w:cs="Times New Roman Regular"/>
          <w:color w:val="000000"/>
          <w:sz w:val="24"/>
          <w:szCs w:val="24"/>
        </w:rPr>
        <w:t xml:space="preserve">；对运维服务过程中的技术请求、事件和问题及时响应并处理；</w:t>
      </w:r>
      <w:r>
        <w:rPr>
          <w:rFonts w:ascii="Times New Roman Regular" w:hAnsi="Times New Roman Regular" w:cs="Times New Roman Regular"/>
          <w:color w:val="000000"/>
          <w:sz w:val="24"/>
          <w:szCs w:val="24"/>
        </w:rPr>
        <w:t xml:space="preserve">对运维团队进行技能培训，提升整体运维能力</w:t>
      </w:r>
      <w:r>
        <w:rPr>
          <w:rFonts w:hint="eastAsia" w:ascii="Times New Roman Regular" w:hAnsi="Times New Roman Regular" w:cs="Times New Roman Regular"/>
          <w:color w:val="000000"/>
          <w:sz w:val="24"/>
          <w:szCs w:val="24"/>
        </w:rPr>
        <w:t xml:space="preserve">。</w:t>
      </w:r>
      <w:r/>
    </w:p>
    <w:p>
      <w:pPr>
        <w:pStyle w:val="727"/>
        <w:numPr>
          <w:ilvl w:val="0"/>
          <w:numId w:val="8"/>
        </w:numPr>
        <w:ind w:firstLine="480"/>
        <w:rPr>
          <w:rFonts w:ascii="Times New Roman Regular" w:hAnsi="Times New Roman Regular" w:cs="Times New Roman Regular"/>
        </w:rPr>
      </w:pPr>
      <w:r>
        <w:rPr>
          <w:rFonts w:hint="eastAsia" w:ascii="Times New Roman Regular" w:hAnsi="Times New Roman Regular" w:cs="Times New Roman Regular"/>
        </w:rPr>
        <w:t xml:space="preserve">安全负责人（1名），</w:t>
      </w:r>
      <w:r>
        <w:rPr>
          <w:rFonts w:ascii="Times New Roman Regular" w:hAnsi="Times New Roman Regular" w:cs="Times New Roman Regular"/>
        </w:rPr>
        <w:t xml:space="preserve">具备信息系统项目管理师（高级）（人社部与工信部联合颁发）、信息安全保障人员（安全运维）证书（中国网络安全审查认证和市场监管大数据中心颁发，原中国网络安全审查技术与认证中心）</w:t>
      </w:r>
      <w:r>
        <w:rPr>
          <w:rFonts w:hint="eastAsia" w:ascii="Times New Roman Regular" w:hAnsi="Times New Roman Regular" w:cs="Times New Roman Regular"/>
        </w:rPr>
        <w:t xml:space="preserve">证书。</w:t>
      </w:r>
      <w:r/>
    </w:p>
    <w:p>
      <w:pPr>
        <w:pStyle w:val="727"/>
        <w:rPr>
          <w:rFonts w:ascii="Times New Roman Regular" w:hAnsi="Times New Roman Regular" w:cs="Times New Roman Regular"/>
        </w:rPr>
      </w:pPr>
      <w:r>
        <w:rPr>
          <w:rFonts w:hint="eastAsia" w:ascii="Times New Roman Regular" w:hAnsi="Times New Roman Regular" w:cs="Times New Roman Regular"/>
        </w:rPr>
        <w:t xml:space="preserve">具体职责：</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全面负责</w:t>
      </w:r>
      <w:r>
        <w:rPr>
          <w:rFonts w:hint="eastAsia" w:ascii="Times New Roman Regular" w:hAnsi="Times New Roman Regular" w:cs="Times New Roman Regular"/>
          <w:color w:val="000000"/>
          <w:sz w:val="24"/>
          <w:szCs w:val="24"/>
        </w:rPr>
        <w:t xml:space="preserve">系统</w:t>
      </w:r>
      <w:r>
        <w:rPr>
          <w:rFonts w:ascii="Times New Roman Regular" w:hAnsi="Times New Roman Regular" w:cs="Times New Roman Regular"/>
          <w:color w:val="000000"/>
          <w:sz w:val="24"/>
          <w:szCs w:val="24"/>
        </w:rPr>
        <w:t xml:space="preserve">信息安全管理工作，负责组织系统安全巡检、风险识别与漏洞管理，监督运维操作合规性，防范数据泄露与越权访问。针对突发安全事件，启动应急响应与溯源分析。定期开展安全策略优化与应急预案演练，配合完成等保测评与安全检查相关工作，确保</w:t>
      </w:r>
      <w:r>
        <w:rPr>
          <w:rFonts w:hint="eastAsia" w:ascii="Times New Roman Regular" w:hAnsi="Times New Roman Regular" w:cs="Times New Roman Regular"/>
          <w:color w:val="000000"/>
          <w:sz w:val="24"/>
          <w:szCs w:val="24"/>
        </w:rPr>
        <w:t xml:space="preserve">系统</w:t>
      </w:r>
      <w:r>
        <w:rPr>
          <w:rFonts w:ascii="Times New Roman Regular" w:hAnsi="Times New Roman Regular" w:cs="Times New Roman Regular"/>
          <w:color w:val="000000"/>
          <w:sz w:val="24"/>
          <w:szCs w:val="24"/>
        </w:rPr>
        <w:t xml:space="preserve">持续合规运行。</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（4）项目团队（不少于17名），</w:t>
      </w:r>
      <w:r>
        <w:rPr>
          <w:rFonts w:ascii="Times New Roman Regular" w:hAnsi="Times New Roman Regular" w:cs="Times New Roman Regular"/>
          <w:color w:val="000000"/>
          <w:sz w:val="24"/>
          <w:szCs w:val="24"/>
        </w:rPr>
        <w:t xml:space="preserve">具备IT服务项目经理证书、软件设计师（中级）（人社部与工信部联合颁发）、系统架构设计师（高级）（人社部与工信部联合颁发）、系统集成项目管理工程师（中级）（人社部与工信部联合颁发）、注册信息安全</w:t>
      </w:r>
      <w:r>
        <w:rPr>
          <w:rFonts w:hint="eastAsia" w:ascii="Times New Roman Regular" w:hAnsi="Times New Roman Regular" w:cs="Times New Roman Regular"/>
          <w:color w:val="000000"/>
          <w:sz w:val="24"/>
          <w:szCs w:val="24"/>
          <w:lang w:val="en-US" w:eastAsia="zh-CN"/>
        </w:rPr>
        <w:t xml:space="preserve">专业人员</w:t>
      </w:r>
      <w:r>
        <w:rPr>
          <w:rFonts w:ascii="Times New Roman Regular" w:hAnsi="Times New Roman Regular" w:cs="Times New Roman Regular"/>
          <w:color w:val="000000"/>
          <w:sz w:val="24"/>
          <w:szCs w:val="24"/>
        </w:rPr>
        <w:t xml:space="preserve">（CISP）</w:t>
      </w:r>
      <w:r>
        <w:rPr>
          <w:rFonts w:hint="eastAsia" w:ascii="Times New Roman Regular" w:hAnsi="Times New Roman Regular" w:cs="Times New Roman Regular"/>
          <w:color w:val="000000"/>
          <w:sz w:val="24"/>
          <w:szCs w:val="24"/>
        </w:rPr>
        <w:t xml:space="preserve">证书。</w:t>
      </w:r>
      <w:r/>
    </w:p>
    <w:p>
      <w:pPr>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具体职责：</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项目团队其他成员分工明确，协同保障运维工作。驻场人员负责现场巡检、用户报修响应及一线故障处置，及时记录并上报运维信息。远程支撑团队除提供二线技术支持外，对于部分指定系统，直接承担其日常运行监控、配置维护、数据备份及性能优化等日常技术工作。驻场与远程建立即时通信渠道，前后方信息共享，遇复杂问题联合研判，共同确保系统稳定运行。</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（二）</w:t>
      </w:r>
      <w:r>
        <w:rPr>
          <w:rFonts w:ascii="Times New Roman Regular" w:hAnsi="Times New Roman Regular" w:cs="Times New Roman Regular"/>
          <w:color w:val="000000"/>
          <w:sz w:val="24"/>
          <w:szCs w:val="24"/>
        </w:rPr>
        <w:t xml:space="preserve">驻场</w:t>
      </w:r>
      <w:r>
        <w:rPr>
          <w:rFonts w:hint="eastAsia" w:ascii="Times New Roman Regular" w:hAnsi="Times New Roman Regular" w:cs="Times New Roman Regular"/>
          <w:color w:val="000000"/>
          <w:sz w:val="24"/>
          <w:szCs w:val="24"/>
        </w:rPr>
        <w:t xml:space="preserve">人员管理要求</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（1）</w:t>
      </w:r>
      <w:r>
        <w:rPr>
          <w:rFonts w:ascii="Times New Roman Regular" w:hAnsi="Times New Roman Regular" w:cs="Times New Roman Regular"/>
          <w:color w:val="000000"/>
          <w:sz w:val="24"/>
          <w:szCs w:val="24"/>
        </w:rPr>
        <w:t xml:space="preserve">驻场人员须使用</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指定的考勤系统每日按时打卡，记录到达与离开时间。考勤数据作为人员到岗率考核的直接依据。</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（2）驻场人员如需休假（包括年假、事假等），须提前3个工作日向</w:t>
      </w:r>
      <w:r>
        <w:rPr>
          <w:rFonts w:hint="eastAsia" w:ascii="Times New Roman Regular" w:hAnsi="Times New Roman Regular" w:cs="Times New Roman Regular"/>
          <w:color w:val="000000"/>
          <w:sz w:val="24"/>
          <w:szCs w:val="24"/>
          <w:lang w:val="en-US" w:eastAsia="zh-CN"/>
        </w:rPr>
        <w:t xml:space="preserve">采购人</w:t>
      </w:r>
      <w:r>
        <w:rPr>
          <w:rFonts w:hint="eastAsia" w:ascii="Times New Roman Regular" w:hAnsi="Times New Roman Regular" w:cs="Times New Roman Regular"/>
          <w:color w:val="000000"/>
          <w:sz w:val="24"/>
          <w:szCs w:val="24"/>
        </w:rPr>
        <w:t xml:space="preserve">提交书面申请，批准后方可休假。休假期间，</w:t>
      </w:r>
      <w:r>
        <w:rPr>
          <w:rFonts w:hint="eastAsia" w:ascii="Times New Roman Regular" w:hAnsi="Times New Roman Regular" w:cs="Times New Roman Regular"/>
          <w:color w:val="000000"/>
          <w:sz w:val="24"/>
          <w:szCs w:val="24"/>
          <w:lang w:val="en-US" w:eastAsia="zh-CN"/>
        </w:rPr>
        <w:t xml:space="preserve">中标人</w:t>
      </w:r>
      <w:r>
        <w:rPr>
          <w:rFonts w:hint="eastAsia" w:ascii="Times New Roman Regular" w:hAnsi="Times New Roman Regular" w:cs="Times New Roman Regular"/>
          <w:color w:val="000000"/>
          <w:sz w:val="24"/>
          <w:szCs w:val="24"/>
        </w:rPr>
        <w:t xml:space="preserve">须安排具备同等或更高技术能力的替班人员到岗，并提前1个工作日将替班人员信息（姓名、联系方式、技术专长）报</w:t>
      </w:r>
      <w:r>
        <w:rPr>
          <w:rFonts w:hint="eastAsia" w:ascii="Times New Roman Regular" w:hAnsi="Times New Roman Regular" w:cs="Times New Roman Regular"/>
          <w:color w:val="000000"/>
          <w:sz w:val="24"/>
          <w:szCs w:val="24"/>
          <w:lang w:val="en-US" w:eastAsia="zh-CN"/>
        </w:rPr>
        <w:t xml:space="preserve">采购人</w:t>
      </w:r>
      <w:r>
        <w:rPr>
          <w:rFonts w:hint="eastAsia" w:ascii="Times New Roman Regular" w:hAnsi="Times New Roman Regular" w:cs="Times New Roman Regular"/>
          <w:color w:val="000000"/>
          <w:sz w:val="24"/>
          <w:szCs w:val="24"/>
        </w:rPr>
        <w:t xml:space="preserve">备案。替班人员须完全遵守所有运维管理制度，其工作质量视同原驻场人员。因替班人员能力不足导致服务质量下降或事故的，由</w:t>
      </w:r>
      <w:r>
        <w:rPr>
          <w:rFonts w:hint="eastAsia" w:ascii="Times New Roman Regular" w:hAnsi="Times New Roman Regular" w:cs="Times New Roman Regular"/>
          <w:color w:val="000000"/>
          <w:sz w:val="24"/>
          <w:szCs w:val="24"/>
          <w:lang w:val="en-US" w:eastAsia="zh-CN"/>
        </w:rPr>
        <w:t xml:space="preserve">中标人</w:t>
      </w:r>
      <w:r>
        <w:rPr>
          <w:rFonts w:hint="eastAsia" w:ascii="Times New Roman Regular" w:hAnsi="Times New Roman Regular" w:cs="Times New Roman Regular"/>
          <w:color w:val="000000"/>
          <w:sz w:val="24"/>
          <w:szCs w:val="24"/>
        </w:rPr>
        <w:t xml:space="preserve">承担全部责任。未经</w:t>
      </w:r>
      <w:r>
        <w:rPr>
          <w:rFonts w:hint="eastAsia" w:ascii="Times New Roman Regular" w:hAnsi="Times New Roman Regular" w:cs="Times New Roman Regular"/>
          <w:color w:val="000000"/>
          <w:sz w:val="24"/>
          <w:szCs w:val="24"/>
          <w:lang w:val="en-US" w:eastAsia="zh-CN"/>
        </w:rPr>
        <w:t xml:space="preserve">采购人</w:t>
      </w:r>
      <w:r>
        <w:rPr>
          <w:rFonts w:hint="eastAsia" w:ascii="Times New Roman Regular" w:hAnsi="Times New Roman Regular" w:cs="Times New Roman Regular"/>
          <w:color w:val="000000"/>
          <w:sz w:val="24"/>
          <w:szCs w:val="24"/>
        </w:rPr>
        <w:t xml:space="preserve">同意擅自脱岗或未安排合格替班人员的，按旷工处理，在考核中扣除相应分数。</w:t>
      </w:r>
      <w:r/>
    </w:p>
    <w:p>
      <w:pPr>
        <w:ind w:firstLine="480"/>
        <w:jc w:val="left"/>
        <w:spacing w:line="400" w:lineRule="exact"/>
        <w:rPr>
          <w:rFonts w:ascii="Times New Roman Regular" w:hAnsi="Times New Roman Regular" w:cs="Times New Roman Regular"/>
          <w:b/>
          <w:bCs/>
          <w:color w:val="000000"/>
          <w:sz w:val="24"/>
          <w:szCs w:val="24"/>
        </w:rPr>
      </w:pPr>
      <w:r>
        <w:rPr>
          <w:rFonts w:hint="eastAsia" w:ascii="Times New Roman Regular" w:hAnsi="Times New Roman Regular" w:cs="Times New Roman Regular"/>
          <w:b/>
          <w:bCs/>
          <w:color w:val="000000"/>
          <w:sz w:val="24"/>
          <w:szCs w:val="24"/>
        </w:rPr>
        <w:t xml:space="preserve">7、运维文档与报告要求</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（1）日报/周报：记录当期的日常巡检结果、故障处理情况、变更实施情况等。</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（2）月度运维报告：包含系统运行情况、故障统计、性能趋势、安全事件与下月工作计划等。（运维周期不足月的，按一个月提交报告）</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（3）季度健康检查报告：包含软件系统可用性、完整性、运行状态、性能检查结果及改进建议等内容。（运维周期不足一季度的，按一个季度提交报告）</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（4）运维总结报告：全面总结运维期内运维工作，包含各项指标达成情况、存在问题及改进建议。</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（5）故障复盘报告：对重大故障进行根因分析，提出整改措施。</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8、运维考核要求</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（一）故障定义及响应时间要求</w:t>
      </w:r>
      <w:r/>
    </w:p>
    <w:p>
      <w:pPr>
        <w:ind w:firstLine="480"/>
        <w:jc w:val="left"/>
        <w:spacing w:line="400" w:lineRule="exact"/>
        <w:rPr>
          <w:rFonts w:ascii="Times New Roman Regular" w:hAnsi="Times New Roman Regular" w:cs="Times New Roman Regular"/>
          <w:color w:val="000000"/>
          <w:sz w:val="24"/>
          <w:szCs w:val="24"/>
          <w:highlight w:val="none"/>
        </w:rPr>
      </w:pPr>
      <w:r>
        <w:rPr>
          <w:rFonts w:hint="eastAsia" w:ascii="Times New Roman Regular" w:hAnsi="Times New Roman Regular" w:cs="Times New Roman Regular"/>
          <w:color w:val="000000"/>
          <w:sz w:val="24"/>
          <w:szCs w:val="24"/>
          <w:highlight w:val="none"/>
        </w:rPr>
        <w:t xml:space="preserve">建立分级故障处理机制（P1-P3级），提供7*24小时故障处理服务，明确各级故障的响应时限和解决时限。</w:t>
      </w:r>
      <w:r/>
    </w:p>
    <w:p>
      <w:pPr>
        <w:ind w:firstLine="480"/>
        <w:jc w:val="left"/>
        <w:spacing w:line="400" w:lineRule="exact"/>
        <w:rPr>
          <w:rFonts w:ascii="Times New Roman Regular" w:hAnsi="Times New Roman Regular" w:cs="Times New Roman Regular"/>
          <w:color w:val="000000"/>
          <w:sz w:val="24"/>
          <w:szCs w:val="24"/>
          <w:highlight w:val="none"/>
        </w:rPr>
      </w:pPr>
      <w:r>
        <w:rPr>
          <w:rFonts w:hint="eastAsia" w:ascii="Times New Roman Regular" w:hAnsi="Times New Roman Regular" w:cs="Times New Roman Regular"/>
          <w:color w:val="000000"/>
          <w:sz w:val="24"/>
          <w:szCs w:val="24"/>
          <w:highlight w:val="none"/>
        </w:rPr>
        <w:t xml:space="preserve">P1级故障（全业务中断）：15分钟内响应，1小时内定位故障，2小时内恢复。</w:t>
      </w:r>
      <w:r/>
    </w:p>
    <w:p>
      <w:pPr>
        <w:ind w:firstLine="480"/>
        <w:jc w:val="left"/>
        <w:spacing w:line="400" w:lineRule="exact"/>
        <w:rPr>
          <w:rFonts w:ascii="Times New Roman Regular" w:hAnsi="Times New Roman Regular" w:cs="Times New Roman Regular"/>
          <w:color w:val="000000"/>
          <w:sz w:val="24"/>
          <w:szCs w:val="24"/>
          <w:highlight w:val="none"/>
        </w:rPr>
      </w:pPr>
      <w:r>
        <w:rPr>
          <w:rFonts w:hint="eastAsia" w:ascii="Times New Roman Regular" w:hAnsi="Times New Roman Regular" w:cs="Times New Roman Regular"/>
          <w:color w:val="000000"/>
          <w:sz w:val="24"/>
          <w:szCs w:val="24"/>
          <w:highlight w:val="none"/>
        </w:rPr>
        <w:t xml:space="preserve">P2级故障（部分业务中断）：30分钟内响应，2小时内定位故障，3小时内恢复。</w:t>
      </w:r>
      <w:r/>
    </w:p>
    <w:p>
      <w:pPr>
        <w:ind w:firstLine="480"/>
        <w:jc w:val="left"/>
        <w:spacing w:line="400" w:lineRule="exact"/>
        <w:rPr>
          <w:rFonts w:ascii="Times New Roman Regular" w:hAnsi="Times New Roman Regular" w:cs="Times New Roman Regular"/>
          <w:color w:val="000000"/>
          <w:sz w:val="24"/>
          <w:szCs w:val="24"/>
          <w:highlight w:val="none"/>
        </w:rPr>
      </w:pPr>
      <w:r>
        <w:rPr>
          <w:rFonts w:hint="eastAsia" w:ascii="Times New Roman Regular" w:hAnsi="Times New Roman Regular" w:cs="Times New Roman Regular"/>
          <w:color w:val="000000"/>
          <w:sz w:val="24"/>
          <w:szCs w:val="24"/>
          <w:highlight w:val="none"/>
        </w:rPr>
        <w:t xml:space="preserve">P3级故障（非关键功能异常）：1小时内响应，3小时内定位故障，4小时内恢复。</w:t>
      </w:r>
      <w:r/>
    </w:p>
    <w:p>
      <w:pPr>
        <w:ind w:firstLine="480"/>
        <w:jc w:val="left"/>
        <w:spacing w:line="400" w:lineRule="exact"/>
        <w:rPr>
          <w:rFonts w:ascii="Times New Roman Regular" w:hAnsi="Times New Roman Regular" w:cs="Times New Roman Regular"/>
          <w:color w:val="000000"/>
          <w:sz w:val="24"/>
          <w:szCs w:val="24"/>
          <w:highlight w:val="none"/>
        </w:rPr>
      </w:pPr>
      <w:r>
        <w:rPr>
          <w:rFonts w:hint="eastAsia" w:ascii="Times New Roman Regular" w:hAnsi="Times New Roman Regular" w:cs="Times New Roman Regular"/>
          <w:color w:val="000000"/>
          <w:sz w:val="24"/>
          <w:szCs w:val="24"/>
          <w:highlight w:val="none"/>
        </w:rPr>
        <w:t xml:space="preserve">故障解决后应在48小时内提交复盘报告，包含根因分析、改进措施及整改时限。</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（二）综合考核要求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运维服务考核工作由</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牵头负责。考核工作每</w:t>
      </w:r>
      <w:r>
        <w:rPr>
          <w:rFonts w:hint="eastAsia" w:ascii="Times New Roman Regular" w:hAnsi="Times New Roman Regular" w:cs="Times New Roman Regular"/>
          <w:color w:val="000000"/>
          <w:sz w:val="24"/>
          <w:szCs w:val="24"/>
        </w:rPr>
        <w:t xml:space="preserve">季度</w:t>
      </w:r>
      <w:r>
        <w:rPr>
          <w:rFonts w:ascii="Times New Roman Regular" w:hAnsi="Times New Roman Regular" w:cs="Times New Roman Regular"/>
          <w:color w:val="000000"/>
          <w:sz w:val="24"/>
          <w:szCs w:val="24"/>
        </w:rPr>
        <w:t xml:space="preserve">进行一次</w:t>
      </w:r>
      <w:r>
        <w:rPr>
          <w:rFonts w:hint="eastAsia" w:ascii="Times New Roman Regular" w:hAnsi="Times New Roman Regular" w:cs="Times New Roman Regular"/>
          <w:color w:val="000000"/>
          <w:sz w:val="24"/>
          <w:szCs w:val="24"/>
        </w:rPr>
        <w:t xml:space="preserve">（运维周期不足一季度的，按一个季度组织考核）</w:t>
      </w:r>
      <w:r>
        <w:rPr>
          <w:rFonts w:ascii="Times New Roman Regular" w:hAnsi="Times New Roman Regular" w:cs="Times New Roman Regular"/>
          <w:color w:val="000000"/>
          <w:sz w:val="24"/>
          <w:szCs w:val="24"/>
        </w:rPr>
        <w:t xml:space="preserve">。</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考核总分采用百分制，由基础项（满分100分）、扣分项和加分项综合计算。最终得分 = 基础项得分 - 扣分项总分 + 加分项总分（加分上限10分，超出按10分计；最终得分超过100分按100分计，低于0分按0分计）。</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（1）</w:t>
      </w:r>
      <w:r>
        <w:rPr>
          <w:rFonts w:ascii="Times New Roman Regular" w:hAnsi="Times New Roman Regular" w:cs="Times New Roman Regular"/>
          <w:color w:val="000000"/>
          <w:sz w:val="24"/>
          <w:szCs w:val="24"/>
        </w:rPr>
        <w:t xml:space="preserve">基础项考核指标（满分100分）</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215"/>
        <w:gridCol w:w="1523"/>
        <w:gridCol w:w="2216"/>
        <w:gridCol w:w="2708"/>
      </w:tblGrid>
      <w:tr>
        <w:trPr>
          <w:jc w:val="center"/>
        </w:trPr>
        <w:tc>
          <w:tcPr>
            <w:tcW w:w="681"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序号</w:t>
            </w:r>
            <w:r/>
          </w:p>
        </w:tc>
        <w:tc>
          <w:tcPr>
            <w:tcW w:w="1215"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一级指标/权重</w:t>
            </w:r>
            <w:r/>
          </w:p>
        </w:tc>
        <w:tc>
          <w:tcPr>
            <w:tcW w:w="1523"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考核指标</w:t>
            </w:r>
            <w:r/>
          </w:p>
        </w:tc>
        <w:tc>
          <w:tcPr>
            <w:tcW w:w="2216"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考核标准</w:t>
            </w:r>
            <w:r/>
          </w:p>
        </w:tc>
        <w:tc>
          <w:tcPr>
            <w:tcW w:w="2708"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扣分标准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restart"/>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服务质量/50%</w:t>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故障响应及时率</w:t>
            </w:r>
            <w:r/>
          </w:p>
        </w:tc>
        <w:tc>
          <w:tcPr>
            <w:tcW w:w="2216" w:type="dxa"/>
            <w:vAlign w:val="center"/>
            <w:textDirection w:val="lrTb"/>
            <w:noWrap w:val="false"/>
          </w:tcPr>
          <w:p>
            <w:pPr>
              <w:widowControl/>
              <w:rPr>
                <w:rFonts w:hint="eastAsia" w:ascii="Times New Roman Regular" w:hAnsi="Times New Roman Regular" w:eastAsia="宋体" w:cs="Times New Roman Regular"/>
                <w:sz w:val="24"/>
                <w:szCs w:val="24"/>
                <w:lang w:val="en-US" w:eastAsia="zh-CN"/>
              </w:rPr>
            </w:pPr>
            <w:r>
              <w:rPr>
                <w:rFonts w:ascii="Times New Roman Regular" w:hAnsi="Times New Roman Regular" w:cs="Times New Roman Regular"/>
                <w:sz w:val="24"/>
                <w:szCs w:val="24"/>
              </w:rPr>
              <w:t xml:space="preserve">P1级15分钟内</w:t>
            </w:r>
            <w:r>
              <w:rPr>
                <w:rFonts w:hint="eastAsia" w:ascii="Times New Roman Regular" w:hAnsi="Times New Roman Regular" w:cs="Times New Roman Regular"/>
                <w:sz w:val="24"/>
                <w:szCs w:val="24"/>
                <w:lang w:val="en-US" w:eastAsia="zh-CN"/>
              </w:rPr>
              <w:t xml:space="preserve">响应</w:t>
            </w:r>
            <w:r>
              <w:rPr>
                <w:rFonts w:ascii="Times New Roman Regular" w:hAnsi="Times New Roman Regular" w:cs="Times New Roman Regular"/>
                <w:sz w:val="24"/>
                <w:szCs w:val="24"/>
              </w:rPr>
              <w:t xml:space="preserve">，P2级30分钟内</w:t>
            </w:r>
            <w:r>
              <w:rPr>
                <w:rFonts w:hint="eastAsia" w:ascii="Times New Roman Regular" w:hAnsi="Times New Roman Regular" w:cs="Times New Roman Regular"/>
                <w:sz w:val="24"/>
                <w:szCs w:val="24"/>
                <w:lang w:val="en-US" w:eastAsia="zh-CN"/>
              </w:rPr>
              <w:t xml:space="preserve">响应</w:t>
            </w:r>
            <w:r>
              <w:rPr>
                <w:rFonts w:ascii="Times New Roman Regular" w:hAnsi="Times New Roman Regular" w:cs="Times New Roman Regular"/>
                <w:sz w:val="24"/>
                <w:szCs w:val="24"/>
              </w:rPr>
              <w:t xml:space="preserve">，P3级1小时内</w:t>
            </w:r>
            <w:r>
              <w:rPr>
                <w:rFonts w:hint="eastAsia"/>
                <w:lang w:val="en-US" w:eastAsia="zh-CN"/>
              </w:rPr>
              <w:t xml:space="preserve">响应</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每超时1次，扣2分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故障解决及时率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≧95%</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每低于标准1%，扣2分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问题解决率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≧90%</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每低于标准1%，扣1分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巡检完成率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季度完成率100%</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每缺失1次，扣3分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报告提交及时率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按时提交率100%</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每延迟一次，扣2分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备份成功率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≧99%</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每低于标准1%，扣2分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restart"/>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安全管理/20%</w:t>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漏洞修复及时率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高危7天内、中危30天内</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每超期一项扣3项</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等保测评合规性</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通过年度等保测评</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 xml:space="preserve">最终</w:t>
            </w:r>
            <w:r>
              <w:rPr>
                <w:rFonts w:ascii="Times New Roman Regular" w:hAnsi="Times New Roman Regular" w:cs="Times New Roman Regular"/>
                <w:sz w:val="24"/>
                <w:szCs w:val="24"/>
              </w:rPr>
              <w:t xml:space="preserve">未通过</w:t>
            </w:r>
            <w:r>
              <w:rPr>
                <w:rFonts w:hint="eastAsia" w:ascii="Times New Roman Regular" w:hAnsi="Times New Roman Regular" w:cs="Times New Roman Regular"/>
                <w:sz w:val="24"/>
                <w:szCs w:val="24"/>
              </w:rPr>
              <w:t xml:space="preserve">扣100分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安全事件</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重大安全事件0起</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发生一次</w:t>
            </w:r>
            <w:r>
              <w:rPr>
                <w:rFonts w:hint="eastAsia" w:ascii="Times New Roman Regular" w:hAnsi="Times New Roman Regular" w:cs="Times New Roman Regular"/>
                <w:sz w:val="24"/>
                <w:szCs w:val="24"/>
              </w:rPr>
              <w:t xml:space="preserve">扣20分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安全操作规范性</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规范操作0次</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每发现一次违规扣5分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restart"/>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人员管理/10%</w:t>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驻场人员在岗率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工作日在岗率≧95%</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每低于标准1%，扣1分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休假替班合规率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休假提前申请且替班合格率100%</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每违规1次，扣2分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培训完成率</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年度培训计划完成率100%</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每低于标准10%，扣2分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restart"/>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用户满意度/10%</w:t>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服务对象满意度</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≧90%</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每低于标准1%，扣1分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投诉处理满意度</w:t>
            </w:r>
            <w:r/>
          </w:p>
        </w:tc>
        <w:tc>
          <w:tcPr>
            <w:tcW w:w="2216"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≧85%</w:t>
            </w:r>
            <w:r/>
          </w:p>
        </w:tc>
        <w:tc>
          <w:tcPr>
            <w:tcW w:w="2708" w:type="dxa"/>
            <w:vAlign w:val="center"/>
            <w:textDirection w:val="lrTb"/>
            <w:noWrap w:val="false"/>
          </w:tcPr>
          <w:p>
            <w:pP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每低于标准1%，扣1分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restart"/>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文档管理/10%</w:t>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文档完整性</w:t>
            </w:r>
            <w:r/>
          </w:p>
        </w:tc>
        <w:tc>
          <w:tcPr>
            <w:tcW w:w="2216" w:type="dxa"/>
            <w:vAlign w:val="center"/>
            <w:textDirection w:val="lrTb"/>
            <w:noWrap w:val="false"/>
          </w:tcPr>
          <w:p>
            <w:pPr>
              <w:jc w:val="left"/>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所需运维文档齐全</w:t>
            </w:r>
            <w:r/>
          </w:p>
        </w:tc>
        <w:tc>
          <w:tcPr>
            <w:tcW w:w="2708" w:type="dxa"/>
            <w:vAlign w:val="center"/>
            <w:textDirection w:val="lrTb"/>
            <w:noWrap w:val="false"/>
          </w:tcPr>
          <w:p>
            <w:pPr>
              <w:jc w:val="left"/>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每缺一项扣2分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文档规范性</w:t>
            </w:r>
            <w:r/>
          </w:p>
        </w:tc>
        <w:tc>
          <w:tcPr>
            <w:tcW w:w="2216" w:type="dxa"/>
            <w:vAlign w:val="center"/>
            <w:textDirection w:val="lrTb"/>
            <w:noWrap w:val="false"/>
          </w:tcPr>
          <w:p>
            <w:pPr>
              <w:jc w:val="left"/>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符合规定格式要求</w:t>
            </w:r>
            <w:r/>
          </w:p>
        </w:tc>
        <w:tc>
          <w:tcPr>
            <w:tcW w:w="2708" w:type="dxa"/>
            <w:vAlign w:val="center"/>
            <w:textDirection w:val="lrTb"/>
            <w:noWrap w:val="false"/>
          </w:tcPr>
          <w:p>
            <w:pPr>
              <w:jc w:val="left"/>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每不符合一项扣1分</w:t>
            </w:r>
            <w:r/>
          </w:p>
        </w:tc>
      </w:tr>
      <w:tr>
        <w:trPr>
          <w:jc w:val="center"/>
        </w:trPr>
        <w:tc>
          <w:tcPr>
            <w:tcW w:w="681" w:type="dxa"/>
            <w:vAlign w:val="center"/>
            <w:textDirection w:val="lrTb"/>
            <w:noWrap w:val="false"/>
          </w:tcPr>
          <w:p>
            <w:pPr>
              <w:numPr>
                <w:ilvl w:val="0"/>
                <w:numId w:val="9"/>
              </w:numPr>
              <w:ind w:firstLine="0"/>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215" w:type="dxa"/>
            <w:vAlign w:val="center"/>
            <w:vMerge w:val="continue"/>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r>
            <w:r/>
          </w:p>
        </w:tc>
        <w:tc>
          <w:tcPr>
            <w:tcW w:w="1523"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运维记录可追溯性</w:t>
            </w:r>
            <w:r/>
          </w:p>
        </w:tc>
        <w:tc>
          <w:tcPr>
            <w:tcW w:w="2216" w:type="dxa"/>
            <w:vAlign w:val="center"/>
            <w:textDirection w:val="lrTb"/>
            <w:noWrap w:val="false"/>
          </w:tcPr>
          <w:p>
            <w:pPr>
              <w:jc w:val="left"/>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所有运维操作有记录</w:t>
            </w:r>
            <w:r/>
          </w:p>
        </w:tc>
        <w:tc>
          <w:tcPr>
            <w:tcW w:w="2708" w:type="dxa"/>
            <w:vAlign w:val="center"/>
            <w:textDirection w:val="lrTb"/>
            <w:noWrap w:val="false"/>
          </w:tcPr>
          <w:p>
            <w:pPr>
              <w:jc w:val="left"/>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每发现遗漏扣2分</w:t>
            </w:r>
            <w:r/>
          </w:p>
        </w:tc>
      </w:tr>
    </w:tbl>
    <w:p>
      <w:pPr>
        <w:rPr>
          <w:rFonts w:ascii="Times New Roman Regular" w:hAnsi="Times New Roman Regular" w:eastAsia="方正仿宋_GBK" w:cs="Times New Roman Regular"/>
          <w:sz w:val="24"/>
          <w:szCs w:val="24"/>
        </w:rPr>
      </w:pPr>
      <w:r>
        <w:rPr>
          <w:rFonts w:ascii="Times New Roman Regular" w:hAnsi="Times New Roman Regular" w:eastAsia="方正仿宋_GBK" w:cs="Times New Roman Regular"/>
          <w:sz w:val="24"/>
          <w:szCs w:val="24"/>
        </w:rPr>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（2）加分激励指标（单次考核周期上限10分）</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578"/>
        <w:gridCol w:w="2800"/>
        <w:gridCol w:w="1299"/>
        <w:gridCol w:w="1964"/>
      </w:tblGrid>
      <w:tr>
        <w:trPr>
          <w:jc w:val="center"/>
          <w:trHeight w:val="552"/>
        </w:trPr>
        <w:tc>
          <w:tcPr>
            <w:tcW w:w="881"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序号</w:t>
            </w:r>
            <w:r/>
          </w:p>
        </w:tc>
        <w:tc>
          <w:tcPr>
            <w:tcW w:w="1578"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加分项目</w:t>
            </w:r>
            <w:r/>
          </w:p>
        </w:tc>
        <w:tc>
          <w:tcPr>
            <w:tcW w:w="2800"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加分标准</w:t>
            </w:r>
            <w:r/>
          </w:p>
        </w:tc>
        <w:tc>
          <w:tcPr>
            <w:tcW w:w="1299"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分值/次</w:t>
            </w:r>
            <w:r/>
          </w:p>
        </w:tc>
        <w:tc>
          <w:tcPr>
            <w:tcW w:w="1964" w:type="dxa"/>
            <w:vAlign w:val="center"/>
            <w:textDirection w:val="lrTb"/>
            <w:noWrap w:val="false"/>
          </w:tcPr>
          <w:p>
            <w:pPr>
              <w:jc w:val="center"/>
              <w:widowControl/>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认定依据</w:t>
            </w:r>
            <w:r/>
          </w:p>
        </w:tc>
      </w:tr>
      <w:tr>
        <w:trPr>
          <w:jc w:val="center"/>
        </w:trPr>
        <w:tc>
          <w:tcPr>
            <w:tcW w:w="881"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1</w:t>
            </w:r>
            <w:r/>
          </w:p>
        </w:tc>
        <w:tc>
          <w:tcPr>
            <w:tcW w:w="1578"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主动发现并规避重大风险</w:t>
            </w:r>
            <w:r/>
          </w:p>
        </w:tc>
        <w:tc>
          <w:tcPr>
            <w:tcW w:w="2800"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提前发现可能引发P1/P2级故障的隐患</w:t>
            </w:r>
            <w:r/>
          </w:p>
        </w:tc>
        <w:tc>
          <w:tcPr>
            <w:tcW w:w="1299"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+1~3</w:t>
            </w:r>
            <w:r/>
          </w:p>
        </w:tc>
        <w:tc>
          <w:tcPr>
            <w:tcW w:w="1964"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风险预警报告+业主确认</w:t>
            </w:r>
            <w:r/>
          </w:p>
        </w:tc>
      </w:tr>
      <w:tr>
        <w:trPr>
          <w:jc w:val="center"/>
        </w:trPr>
        <w:tc>
          <w:tcPr>
            <w:tcW w:w="881"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2</w:t>
            </w:r>
            <w:r/>
          </w:p>
        </w:tc>
        <w:tc>
          <w:tcPr>
            <w:tcW w:w="1578"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显著性能/架构优化</w:t>
            </w:r>
            <w:r/>
          </w:p>
        </w:tc>
        <w:tc>
          <w:tcPr>
            <w:tcW w:w="2800"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系统响应提升≥20%或资源消耗降低≥15%</w:t>
            </w:r>
            <w:r/>
          </w:p>
        </w:tc>
        <w:tc>
          <w:tcPr>
            <w:tcW w:w="1299"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+1~5</w:t>
            </w:r>
            <w:r/>
          </w:p>
        </w:tc>
        <w:tc>
          <w:tcPr>
            <w:tcW w:w="1964"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性能对比测试报告+业主确认</w:t>
            </w:r>
            <w:r/>
          </w:p>
        </w:tc>
      </w:tr>
      <w:tr>
        <w:trPr>
          <w:jc w:val="center"/>
        </w:trPr>
        <w:tc>
          <w:tcPr>
            <w:tcW w:w="881"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3</w:t>
            </w:r>
            <w:r/>
          </w:p>
        </w:tc>
        <w:tc>
          <w:tcPr>
            <w:tcW w:w="1578"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自动化/工具化创新</w:t>
            </w:r>
            <w:r/>
          </w:p>
        </w:tc>
        <w:tc>
          <w:tcPr>
            <w:tcW w:w="2800"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开发实用运维工具被</w:t>
            </w:r>
            <w:r>
              <w:rPr>
                <w:rFonts w:hint="eastAsia" w:ascii="Times New Roman Regular" w:hAnsi="Times New Roman Regular" w:cs="Times New Roman Regular"/>
                <w:sz w:val="24"/>
                <w:szCs w:val="24"/>
                <w:lang w:val="en-US" w:eastAsia="zh-CN"/>
              </w:rPr>
              <w:t xml:space="preserve">采购人</w:t>
            </w:r>
            <w:r>
              <w:rPr>
                <w:rFonts w:ascii="Times New Roman Regular" w:hAnsi="Times New Roman Regular" w:cs="Times New Roman Regular"/>
                <w:sz w:val="24"/>
                <w:szCs w:val="24"/>
              </w:rPr>
              <w:t xml:space="preserve">采纳</w:t>
            </w:r>
            <w:r/>
          </w:p>
        </w:tc>
        <w:tc>
          <w:tcPr>
            <w:tcW w:w="1299"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+1~2</w:t>
            </w:r>
            <w:r/>
          </w:p>
        </w:tc>
        <w:tc>
          <w:tcPr>
            <w:tcW w:w="1964"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工具安装包+业主确认</w:t>
            </w:r>
            <w:r/>
          </w:p>
        </w:tc>
      </w:tr>
      <w:tr>
        <w:trPr>
          <w:jc w:val="center"/>
        </w:trPr>
        <w:tc>
          <w:tcPr>
            <w:tcW w:w="881"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4</w:t>
            </w:r>
            <w:r/>
          </w:p>
        </w:tc>
        <w:tc>
          <w:tcPr>
            <w:tcW w:w="1578"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文档/知识库突出贡献</w:t>
            </w:r>
            <w:r/>
          </w:p>
        </w:tc>
        <w:tc>
          <w:tcPr>
            <w:tcW w:w="2800"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提交高质量技术文档被采纳为标准</w:t>
            </w:r>
            <w:r/>
          </w:p>
        </w:tc>
        <w:tc>
          <w:tcPr>
            <w:tcW w:w="1299"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+1</w:t>
            </w:r>
            <w:r/>
          </w:p>
        </w:tc>
        <w:tc>
          <w:tcPr>
            <w:tcW w:w="1964"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文档+评审通过记录</w:t>
            </w:r>
            <w:r/>
          </w:p>
        </w:tc>
      </w:tr>
      <w:tr>
        <w:trPr>
          <w:jc w:val="center"/>
        </w:trPr>
        <w:tc>
          <w:tcPr>
            <w:tcW w:w="881"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5</w:t>
            </w:r>
            <w:r/>
          </w:p>
        </w:tc>
        <w:tc>
          <w:tcPr>
            <w:tcW w:w="1578"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重保期突出表现</w:t>
            </w:r>
            <w:r/>
          </w:p>
        </w:tc>
        <w:tc>
          <w:tcPr>
            <w:tcW w:w="2800"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重保期间零事故且获业主表扬</w:t>
            </w:r>
            <w:r/>
          </w:p>
        </w:tc>
        <w:tc>
          <w:tcPr>
            <w:tcW w:w="1299"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+1~2</w:t>
            </w:r>
            <w:r/>
          </w:p>
        </w:tc>
        <w:tc>
          <w:tcPr>
            <w:tcW w:w="1964"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表扬信</w:t>
            </w:r>
            <w:r/>
          </w:p>
        </w:tc>
      </w:tr>
      <w:tr>
        <w:trPr>
          <w:jc w:val="center"/>
        </w:trPr>
        <w:tc>
          <w:tcPr>
            <w:tcW w:w="881"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6</w:t>
            </w:r>
            <w:r/>
          </w:p>
        </w:tc>
        <w:tc>
          <w:tcPr>
            <w:tcW w:w="1578"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用户高度认可</w:t>
            </w:r>
            <w:r/>
          </w:p>
        </w:tc>
        <w:tc>
          <w:tcPr>
            <w:tcW w:w="2800"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获得业务部门书面表扬或锦旗</w:t>
            </w:r>
            <w:r/>
          </w:p>
        </w:tc>
        <w:tc>
          <w:tcPr>
            <w:tcW w:w="1299"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+1</w:t>
            </w:r>
            <w:r/>
          </w:p>
        </w:tc>
        <w:tc>
          <w:tcPr>
            <w:tcW w:w="1964"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表扬信</w:t>
            </w:r>
            <w:r/>
          </w:p>
        </w:tc>
      </w:tr>
      <w:tr>
        <w:trPr>
          <w:jc w:val="center"/>
        </w:trPr>
        <w:tc>
          <w:tcPr>
            <w:tcW w:w="881"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7</w:t>
            </w:r>
            <w:r/>
          </w:p>
        </w:tc>
        <w:tc>
          <w:tcPr>
            <w:tcW w:w="1578"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超额完成SLA</w:t>
            </w:r>
            <w:r/>
          </w:p>
        </w:tc>
        <w:tc>
          <w:tcPr>
            <w:tcW w:w="2800"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可用性超出约定且全年无P1/P2故障</w:t>
            </w:r>
            <w:r/>
          </w:p>
        </w:tc>
        <w:tc>
          <w:tcPr>
            <w:tcW w:w="1299"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+2</w:t>
            </w:r>
            <w:r/>
          </w:p>
        </w:tc>
        <w:tc>
          <w:tcPr>
            <w:tcW w:w="1964" w:type="dxa"/>
            <w:vAlign w:val="center"/>
            <w:textDirection w:val="lrTb"/>
            <w:noWrap w:val="false"/>
          </w:tcPr>
          <w:p>
            <w:pPr>
              <w:jc w:val="center"/>
              <w:widowControl/>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 xml:space="preserve">半</w:t>
            </w:r>
            <w:r>
              <w:rPr>
                <w:rFonts w:ascii="Times New Roman Regular" w:hAnsi="Times New Roman Regular" w:cs="Times New Roman Regular"/>
                <w:sz w:val="24"/>
                <w:szCs w:val="24"/>
              </w:rPr>
              <w:t xml:space="preserve">年度</w:t>
            </w:r>
            <w:r>
              <w:rPr>
                <w:rFonts w:hint="eastAsia" w:ascii="Times New Roman Regular" w:hAnsi="Times New Roman Regular" w:cs="Times New Roman Regular"/>
                <w:sz w:val="24"/>
                <w:szCs w:val="24"/>
              </w:rPr>
              <w:t xml:space="preserve">运维</w:t>
            </w:r>
            <w:r>
              <w:rPr>
                <w:rFonts w:ascii="Times New Roman Regular" w:hAnsi="Times New Roman Regular" w:cs="Times New Roman Regular"/>
                <w:sz w:val="24"/>
                <w:szCs w:val="24"/>
              </w:rPr>
              <w:t xml:space="preserve">报告</w:t>
            </w:r>
            <w:r/>
          </w:p>
        </w:tc>
      </w:tr>
      <w:tr>
        <w:trPr>
          <w:jc w:val="center"/>
        </w:trPr>
        <w:tc>
          <w:tcPr>
            <w:tcW w:w="881"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8</w:t>
            </w:r>
            <w:r/>
          </w:p>
        </w:tc>
        <w:tc>
          <w:tcPr>
            <w:tcW w:w="1578"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超额完成一体化运维试点工作</w:t>
            </w:r>
            <w:r/>
          </w:p>
        </w:tc>
        <w:tc>
          <w:tcPr>
            <w:tcW w:w="2800"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完成项目所含系统核心业务的一体化运维纳管</w:t>
            </w:r>
            <w:r/>
          </w:p>
        </w:tc>
        <w:tc>
          <w:tcPr>
            <w:tcW w:w="1299" w:type="dxa"/>
            <w:vAlign w:val="center"/>
            <w:textDirection w:val="lrTb"/>
            <w:noWrap w:val="false"/>
          </w:tcPr>
          <w:p>
            <w:pPr>
              <w:jc w:val="center"/>
              <w:widowControl/>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+3</w:t>
            </w:r>
            <w:r/>
          </w:p>
        </w:tc>
        <w:tc>
          <w:tcPr>
            <w:tcW w:w="1964" w:type="dxa"/>
            <w:vAlign w:val="center"/>
            <w:textDirection w:val="lrTb"/>
            <w:noWrap w:val="false"/>
          </w:tcPr>
          <w:p>
            <w:pPr>
              <w:jc w:val="center"/>
              <w:widowControl/>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 xml:space="preserve">半</w:t>
            </w:r>
            <w:r>
              <w:rPr>
                <w:rFonts w:ascii="Times New Roman Regular" w:hAnsi="Times New Roman Regular" w:cs="Times New Roman Regular"/>
                <w:sz w:val="24"/>
                <w:szCs w:val="24"/>
              </w:rPr>
              <w:t xml:space="preserve">年度</w:t>
            </w:r>
            <w:r>
              <w:rPr>
                <w:rFonts w:hint="eastAsia" w:ascii="Times New Roman Regular" w:hAnsi="Times New Roman Regular" w:cs="Times New Roman Regular"/>
                <w:sz w:val="24"/>
                <w:szCs w:val="24"/>
              </w:rPr>
              <w:t xml:space="preserve">运维</w:t>
            </w:r>
            <w:r>
              <w:rPr>
                <w:rFonts w:ascii="Times New Roman Regular" w:hAnsi="Times New Roman Regular" w:cs="Times New Roman Regular"/>
                <w:sz w:val="24"/>
                <w:szCs w:val="24"/>
              </w:rPr>
              <w:t xml:space="preserve">报告</w:t>
            </w:r>
            <w:r/>
          </w:p>
        </w:tc>
      </w:tr>
    </w:tbl>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加分申请由服务方在考核周期末提交证明材料，</w:t>
      </w:r>
      <w:r>
        <w:rPr>
          <w:rFonts w:hint="eastAsia" w:ascii="Times New Roman Regular" w:hAnsi="Times New Roman Regular" w:cs="Times New Roman Regular"/>
          <w:color w:val="000000"/>
          <w:sz w:val="24"/>
          <w:szCs w:val="24"/>
          <w:lang w:val="en-US" w:eastAsia="zh-CN"/>
        </w:rPr>
        <w:t xml:space="preserve">采购人</w:t>
      </w:r>
      <w:r>
        <w:rPr>
          <w:rFonts w:hint="eastAsia" w:ascii="Times New Roman Regular" w:hAnsi="Times New Roman Regular" w:cs="Times New Roman Regular"/>
          <w:color w:val="000000"/>
          <w:sz w:val="24"/>
          <w:szCs w:val="24"/>
        </w:rPr>
        <w:t xml:space="preserve">进行</w:t>
      </w:r>
      <w:r>
        <w:rPr>
          <w:rFonts w:ascii="Times New Roman Regular" w:hAnsi="Times New Roman Regular" w:cs="Times New Roman Regular"/>
          <w:color w:val="000000"/>
          <w:sz w:val="24"/>
          <w:szCs w:val="24"/>
        </w:rPr>
        <w:t xml:space="preserve">审核</w:t>
      </w:r>
      <w:r>
        <w:rPr>
          <w:rFonts w:hint="eastAsia" w:ascii="Times New Roman Regular" w:hAnsi="Times New Roman Regular" w:cs="Times New Roman Regular"/>
          <w:color w:val="000000"/>
          <w:sz w:val="24"/>
          <w:szCs w:val="24"/>
        </w:rPr>
        <w:t xml:space="preserve">；</w:t>
      </w:r>
      <w:r>
        <w:rPr>
          <w:rFonts w:ascii="Times New Roman Regular" w:hAnsi="Times New Roman Regular" w:cs="Times New Roman Regular"/>
          <w:color w:val="000000"/>
          <w:sz w:val="24"/>
          <w:szCs w:val="24"/>
        </w:rPr>
        <w:t xml:space="preserve">弄虚作假者取消该项加分并额外扣5分。</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（3）考核标准评分</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优秀（90分及以上）：服务质量优秀。全额支付当期服务费用，给予通报表扬。</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良好（75分～89分）：服务质量良好。全额支付当期服务费用。</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合格（60分～74分）：服务质量基本达标。按考核结果扣减相应比例服务费用，并要求限期整改。</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不合格（60分以下） ：服务质量未达标。扣减当期部分服务费用，限期整改；连续两次不合格，</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有权终止合同，并将服务商列入项目采购黑名单。</w:t>
      </w:r>
      <w:r/>
    </w:p>
    <w:p>
      <w:pPr>
        <w:ind w:firstLine="480"/>
        <w:jc w:val="left"/>
        <w:spacing w:line="400" w:lineRule="exact"/>
        <w:rPr>
          <w:rFonts w:ascii="Times New Roman Regular" w:hAnsi="Times New Roman Regular" w:cs="Times New Roman Regular"/>
          <w:b/>
          <w:bCs/>
          <w:color w:val="000000"/>
          <w:sz w:val="24"/>
          <w:szCs w:val="24"/>
        </w:rPr>
      </w:pPr>
      <w:r>
        <w:rPr>
          <w:rFonts w:hint="eastAsia" w:ascii="Times New Roman Regular" w:hAnsi="Times New Roman Regular" w:cs="Times New Roman Regular"/>
          <w:b/>
          <w:bCs/>
          <w:color w:val="000000"/>
          <w:sz w:val="24"/>
          <w:szCs w:val="24"/>
        </w:rPr>
        <w:t xml:space="preserve">9</w:t>
      </w:r>
      <w:r>
        <w:rPr>
          <w:rFonts w:ascii="Times New Roman Regular" w:hAnsi="Times New Roman Regular" w:cs="Times New Roman Regular"/>
          <w:b/>
          <w:bCs/>
          <w:color w:val="000000"/>
          <w:sz w:val="24"/>
          <w:szCs w:val="24"/>
        </w:rPr>
        <w:t xml:space="preserve">、一体化运维体系技术试点对接要求</w:t>
      </w:r>
      <w:r/>
    </w:p>
    <w:p>
      <w:pPr>
        <w:ind w:firstLine="480"/>
        <w:jc w:val="left"/>
        <w:spacing w:line="400" w:lineRule="exact"/>
        <w:rPr>
          <w:rFonts w:ascii="Times New Roman Regular" w:hAnsi="Times New Roman Regular" w:cs="Times New Roman Regular"/>
        </w:rPr>
      </w:pPr>
      <w:r>
        <w:rPr>
          <w:rFonts w:ascii="Times New Roman Regular" w:hAnsi="Times New Roman Regular" w:cs="Times New Roman Regular"/>
          <w:color w:val="000000"/>
          <w:sz w:val="24"/>
          <w:szCs w:val="24"/>
        </w:rPr>
        <w:t xml:space="preserve">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须承诺严格遵循《扬州市市级政务信息化项目管理办法》中关于“探索‘统一实施、统一运维’模式”的要求，在确保6个政务系统稳定运行的前提下，分批次将相关业务系统接入统一运维管理系统，接受统一管理与监测。供应商具体承诺如下：</w:t>
      </w:r>
      <w:r/>
    </w:p>
    <w:p>
      <w:pPr>
        <w:ind w:firstLine="480"/>
        <w:jc w:val="left"/>
        <w:spacing w:line="400" w:lineRule="exact"/>
        <w:rPr>
          <w:rFonts w:ascii="Times New Roman Regular" w:hAnsi="Times New Roman Regular" w:cs="Times New Roman Regular"/>
          <w:i/>
          <w:iCs/>
          <w:color w:val="000000"/>
          <w:sz w:val="24"/>
          <w:szCs w:val="24"/>
          <w:u w:val="single"/>
        </w:rPr>
      </w:pPr>
      <w:r>
        <w:rPr>
          <w:rFonts w:ascii="Times New Roman Regular" w:hAnsi="Times New Roman Regular" w:cs="Times New Roman Regular"/>
          <w:i/>
          <w:iCs/>
          <w:color w:val="000000"/>
          <w:sz w:val="24"/>
          <w:szCs w:val="24"/>
          <w:u w:val="single"/>
        </w:rPr>
        <w:t xml:space="preserve">（1）切实做好待接入系统调研工作。依据统一运维管理系统的监管逻辑，梳理待接入系统的用户体系、软硬件资源及相关技术组件、各资源对象间的关联关系、历史运行指标、历史故障风险、当前运维与处置流程等相关内容。</w:t>
      </w:r>
      <w:r/>
    </w:p>
    <w:p>
      <w:pPr>
        <w:ind w:firstLine="480"/>
        <w:jc w:val="left"/>
        <w:spacing w:line="400" w:lineRule="exact"/>
        <w:rPr>
          <w:rFonts w:ascii="Times New Roman Regular" w:hAnsi="Times New Roman Regular" w:cs="Times New Roman Regular"/>
          <w:i/>
          <w:iCs/>
        </w:rPr>
      </w:pPr>
      <w:r>
        <w:rPr>
          <w:rFonts w:ascii="Times New Roman Regular" w:hAnsi="Times New Roman Regular" w:cs="Times New Roman Regular"/>
          <w:i/>
          <w:iCs/>
          <w:color w:val="000000"/>
          <w:sz w:val="24"/>
          <w:szCs w:val="24"/>
          <w:u w:val="single"/>
        </w:rPr>
        <w:t xml:space="preserve">（2）开展待接入系统统一纳入管理工作。在保障现有政务系统平稳运行的基础上，根据实际需求将各系统逐一接入统一运维管理系统，完成各类脚本、指标、模型及规则的配置，并确保并行运行周期不低于4周。</w:t>
      </w:r>
      <w:r/>
    </w:p>
    <w:p>
      <w:pPr>
        <w:ind w:firstLine="480"/>
        <w:jc w:val="left"/>
        <w:spacing w:line="400" w:lineRule="exact"/>
        <w:rPr>
          <w:rFonts w:ascii="Times New Roman Regular" w:hAnsi="Times New Roman Regular" w:cs="Times New Roman Regular"/>
          <w:i/>
          <w:iCs/>
        </w:rPr>
      </w:pPr>
      <w:r>
        <w:rPr>
          <w:rFonts w:ascii="Times New Roman Regular" w:hAnsi="Times New Roman Regular" w:cs="Times New Roman Regular"/>
          <w:i/>
          <w:iCs/>
          <w:color w:val="000000"/>
          <w:sz w:val="24"/>
          <w:szCs w:val="24"/>
          <w:u w:val="single"/>
        </w:rPr>
        <w:t xml:space="preserve">（3）在统一运维纳管实施过程中，需与统一运维管理系统技术团队开展充分对接，迅速掌握该系统的逻辑架构及技术接口，并提供相应技术支撑服务，以切实保障扬州市统一运维管理模式的顺利转型。</w:t>
      </w:r>
      <w:r/>
    </w:p>
    <w:p>
      <w:pPr>
        <w:ind w:firstLine="480"/>
        <w:jc w:val="left"/>
        <w:spacing w:line="400" w:lineRule="exact"/>
        <w:rPr>
          <w:rFonts w:ascii="Times New Roman Regular" w:hAnsi="Times New Roman Regular" w:cs="Times New Roman Regular"/>
          <w:i/>
          <w:iCs/>
          <w:color w:val="000000"/>
          <w:sz w:val="24"/>
          <w:szCs w:val="24"/>
          <w:u w:val="single"/>
        </w:rPr>
      </w:pPr>
      <w:r>
        <w:rPr>
          <w:rFonts w:ascii="Times New Roman Regular" w:hAnsi="Times New Roman Regular" w:cs="Times New Roman Regular"/>
          <w:i/>
          <w:iCs/>
          <w:color w:val="000000"/>
          <w:sz w:val="24"/>
          <w:szCs w:val="24"/>
          <w:u w:val="single"/>
        </w:rPr>
        <w:t xml:space="preserve">（4）本项目所提供技术服务涉及的费用已包含在本次投标报价内。</w:t>
      </w:r>
      <w:r/>
    </w:p>
    <w:p>
      <w:pPr>
        <w:ind w:firstLine="480"/>
        <w:jc w:val="left"/>
        <w:spacing w:line="400" w:lineRule="exact"/>
        <w:rPr>
          <w:rFonts w:ascii="Times New Roman Regular" w:hAnsi="Times New Roman Regular" w:cs="Times New Roman Regular"/>
          <w:i/>
          <w:iCs/>
          <w:color w:val="000000"/>
          <w:sz w:val="24"/>
          <w:szCs w:val="24"/>
          <w:highlight w:val="yellow"/>
          <w:u w:val="single"/>
        </w:rPr>
      </w:pPr>
      <w:r>
        <w:rPr>
          <w:rFonts w:hint="eastAsia" w:ascii="Times New Roman Regular" w:hAnsi="Times New Roman Regular" w:cs="Times New Roman Regular"/>
          <w:i/>
          <w:iCs/>
          <w:color w:val="000000"/>
          <w:sz w:val="24"/>
          <w:szCs w:val="24"/>
          <w:u w:val="single"/>
        </w:rPr>
        <w:t xml:space="preserve">（提供承诺函，格式自拟）</w:t>
      </w:r>
      <w:r/>
    </w:p>
    <w:p>
      <w:pPr>
        <w:ind w:firstLine="480"/>
        <w:jc w:val="left"/>
        <w:spacing w:line="400" w:lineRule="exact"/>
        <w:rPr>
          <w:rFonts w:ascii="Times New Roman Regular" w:hAnsi="Times New Roman Regular" w:cs="Times New Roman Regular"/>
          <w:color w:val="000000"/>
          <w:sz w:val="24"/>
          <w:szCs w:val="24"/>
        </w:rPr>
      </w:pPr>
      <w:r>
        <w:rPr>
          <w:rFonts w:hint="eastAsia" w:ascii="Times New Roman Regular" w:hAnsi="Times New Roman Regular" w:cs="Times New Roman Regular"/>
          <w:color w:val="000000"/>
          <w:sz w:val="24"/>
          <w:szCs w:val="24"/>
        </w:rPr>
        <w:t xml:space="preserve">10</w:t>
      </w:r>
      <w:r>
        <w:rPr>
          <w:rFonts w:ascii="Times New Roman Regular" w:hAnsi="Times New Roman Regular" w:cs="Times New Roman Regular"/>
          <w:color w:val="000000"/>
          <w:sz w:val="24"/>
          <w:szCs w:val="24"/>
        </w:rPr>
        <w:t xml:space="preserve">、其他要求</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（1）如果发生因中标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安全措施不力造成的事故责任，或者其他工作失误，</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有权解除合同，由此所产生的一切责任由中标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承担。</w:t>
      </w:r>
      <w:r/>
    </w:p>
    <w:p>
      <w:pPr>
        <w:ind w:firstLine="480"/>
        <w:jc w:val="left"/>
        <w:spacing w:line="400" w:lineRule="exact"/>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rPr>
        <w:t xml:space="preserve">（2）如因中标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投入人员过少原因，造成无法在承诺工期内完成服务，</w:t>
      </w:r>
      <w:r>
        <w:rPr>
          <w:rFonts w:hint="eastAsia" w:ascii="Times New Roman Regular" w:hAnsi="Times New Roman Regular" w:cs="Times New Roman Regular"/>
          <w:color w:val="000000"/>
          <w:sz w:val="24"/>
          <w:szCs w:val="24"/>
          <w:lang w:val="en-US" w:eastAsia="zh-CN"/>
        </w:rPr>
        <w:t xml:space="preserve">采购人</w:t>
      </w:r>
      <w:r>
        <w:rPr>
          <w:rFonts w:ascii="Times New Roman Regular" w:hAnsi="Times New Roman Regular" w:cs="Times New Roman Regular"/>
          <w:color w:val="000000"/>
          <w:sz w:val="24"/>
          <w:szCs w:val="24"/>
        </w:rPr>
        <w:t xml:space="preserve">有权解除合同，由此所产生的一切责任由中标</w:t>
      </w:r>
      <w:r>
        <w:rPr>
          <w:rFonts w:hint="eastAsia" w:ascii="Times New Roman Regular" w:hAnsi="Times New Roman Regular" w:cs="Times New Roman Regular"/>
          <w:color w:val="000000"/>
          <w:sz w:val="24"/>
          <w:szCs w:val="24"/>
          <w:lang w:val="en-US" w:eastAsia="zh-CN"/>
        </w:rPr>
        <w:t xml:space="preserve">人</w:t>
      </w:r>
      <w:r>
        <w:rPr>
          <w:rFonts w:ascii="Times New Roman Regular" w:hAnsi="Times New Roman Regular" w:cs="Times New Roman Regular"/>
          <w:color w:val="000000"/>
          <w:sz w:val="24"/>
          <w:szCs w:val="24"/>
        </w:rPr>
        <w:t xml:space="preserve">承担。</w:t>
      </w:r>
      <w:bookmarkEnd w:id="0"/>
      <w:r/>
      <w:bookmarkEnd w:id="1"/>
      <w:r/>
      <w:r/>
    </w:p>
    <w:p>
      <w:r/>
      <w:r/>
    </w:p>
    <w:p>
      <w:r>
        <w:t xml:space="preserve"> </w:t>
      </w:r>
      <w:r/>
    </w:p>
    <w:p>
      <w:r>
        <w:t xml:space="preserve"> </w:t>
      </w:r>
      <w:r/>
    </w:p>
    <w:p>
      <w:r/>
      <w:r/>
    </w:p>
    <w:p>
      <w:r/>
      <w:r/>
    </w:p>
    <w:p>
      <w:r/>
      <w:r/>
    </w:p>
    <w:p>
      <w:r/>
      <w:r/>
    </w:p>
    <w:p>
      <w:r/>
      <w:r/>
    </w:p>
    <w:p>
      <w:r/>
      <w:r/>
    </w:p>
    <w:p>
      <w:r/>
      <w:r/>
    </w:p>
    <w:p>
      <w:r/>
      <w:r/>
    </w:p>
    <w:p>
      <w:r/>
      <w:r/>
    </w:p>
    <w:p>
      <w:r/>
      <w:r/>
    </w:p>
    <w:p>
      <w:r/>
      <w:r/>
    </w:p>
    <w:p>
      <w:r/>
      <w:r/>
    </w:p>
    <w:p>
      <w:r/>
      <w:r/>
    </w:p>
    <w:p>
      <w:r/>
      <w:r/>
    </w:p>
    <w:p>
      <w:pPr>
        <w:pStyle w:val="724"/>
        <w:rPr>
          <w:rFonts w:hint="eastAsia"/>
        </w:rPr>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4" w:type="dxa"/>
            <w:textDirection w:val="lrTb"/>
            <w:noWrap w:val="false"/>
          </w:tcPr>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满足招标文件全部实质性要求，且按照评审因素的量化指标评审得分最高的投标人为中标候选人。</w:t>
            </w:r>
            <w:r/>
          </w:p>
          <w:p>
            <w:pPr>
              <w:jc w:val="center"/>
              <w:rPr>
                <w:color w:val="0070c0"/>
              </w:rPr>
              <w:pBdr>
                <w:top w:val="none" w:color="000000" w:sz="0" w:space="0"/>
                <w:left w:val="none" w:color="000000" w:sz="0" w:space="0"/>
                <w:bottom w:val="none" w:color="000000" w:sz="0" w:space="0"/>
                <w:right w:val="none" w:color="000000" w:sz="0" w:space="0"/>
              </w:pBdr>
            </w:pPr>
            <w:r>
              <w:rPr>
                <w:color w:val="0070c0"/>
              </w:rPr>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78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1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Times New Roman Regular" w:hAnsi="Times New Roman Regular" w:cs="Times New Roman Regular"/>
          <w:color w:val="000000"/>
          <w:sz w:val="24"/>
          <w:szCs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Times New Roman Regular" w:hAnsi="Times New Roman Regular" w:cs="Times New Roman Regular"/>
          <w:color w:val="000000"/>
          <w:sz w:val="24"/>
          <w:szCs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Times New Roman Regular" w:hAnsi="Times New Roman Regular" w:cs="Times New Roman Regular"/>
          <w:color w:val="000000"/>
          <w:sz w:val="24"/>
          <w:szCs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Regular" w:hAnsi="Times New Roman Regular" w:cs="Times New Roman Regular"/>
          <w:color w:val="000000"/>
          <w:sz w:val="24"/>
          <w:szCs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Times New Roman Regular" w:hAnsi="Times New Roman Regular" w:cs="Times New Roman Regular"/>
          <w:color w:val="000000"/>
          <w:sz w:val="24"/>
          <w:szCs w:val="24"/>
          <w:u w:val="single"/>
        </w:rPr>
        <w:t xml:space="preserve">/</w:t>
      </w:r>
      <w:r>
        <w:rPr>
          <w:rFonts w:ascii="宋体" w:hAnsi="宋体" w:cs="宋体"/>
          <w:color w:val="000000"/>
          <w:sz w:val="24"/>
        </w:rPr>
        <w:t xml:space="preserve">价格扣除，用扣除后的价格参与评审。</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rPr>
          <w:rFonts w:ascii="宋体" w:hAnsi="宋体" w:cs="宋体"/>
          <w:color w:val="000000"/>
          <w:sz w:val="24"/>
        </w:rPr>
        <w:t xml:space="preserve"> </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541"/>
      </w:tblGrid>
      <w:tr>
        <w:trPr>
          <w:jc w:val="center"/>
          <w:trHeight w:val="309"/>
          <w:tblHeader/>
        </w:trPr>
        <w:tc>
          <w:tcPr>
            <w:shd w:val="clear" w:color="auto" w:fill="bfbfbf"/>
            <w:tcW w:w="1361" w:type="dxa"/>
            <w:vAlign w:val="center"/>
            <w:textDirection w:val="lrTb"/>
            <w:noWrap w:val="false"/>
          </w:tcPr>
          <w:p>
            <w:pPr>
              <w:jc w:val="center"/>
              <w:widowControl/>
              <w:rPr>
                <w:b/>
                <w:bCs/>
                <w:color w:val="000000"/>
                <w:sz w:val="24"/>
                <w:szCs w:val="24"/>
              </w:rPr>
            </w:pPr>
            <w:r>
              <w:rPr>
                <w:b/>
                <w:bCs/>
                <w:color w:val="000000"/>
                <w:sz w:val="24"/>
                <w:szCs w:val="24"/>
              </w:rPr>
              <w:t xml:space="preserve">项目</w:t>
            </w:r>
            <w:r/>
          </w:p>
        </w:tc>
        <w:tc>
          <w:tcPr>
            <w:shd w:val="clear" w:color="auto" w:fill="bfbfbf"/>
            <w:tcW w:w="7541" w:type="dxa"/>
            <w:vAlign w:val="center"/>
            <w:textDirection w:val="lrTb"/>
            <w:noWrap w:val="false"/>
          </w:tcPr>
          <w:p>
            <w:pPr>
              <w:jc w:val="center"/>
              <w:widowControl/>
              <w:rPr>
                <w:b/>
                <w:bCs/>
                <w:color w:val="000000"/>
                <w:sz w:val="24"/>
                <w:szCs w:val="24"/>
              </w:rPr>
            </w:pPr>
            <w:r>
              <w:rPr>
                <w:b/>
                <w:bCs/>
                <w:color w:val="000000"/>
                <w:sz w:val="24"/>
                <w:szCs w:val="24"/>
              </w:rPr>
              <w:t xml:space="preserve">评分标准</w:t>
            </w:r>
            <w:r/>
          </w:p>
        </w:tc>
      </w:tr>
      <w:tr>
        <w:trPr>
          <w:jc w:val="center"/>
          <w:trHeight w:val="90"/>
        </w:trPr>
        <w:tc>
          <w:tcPr>
            <w:tcW w:w="1361" w:type="dxa"/>
            <w:vAlign w:val="center"/>
            <w:textDirection w:val="lrTb"/>
            <w:noWrap w:val="false"/>
          </w:tcPr>
          <w:p>
            <w:pPr>
              <w:jc w:val="center"/>
              <w:widowControl/>
              <w:rPr>
                <w:b/>
                <w:bCs/>
                <w:color w:val="000000"/>
                <w:sz w:val="24"/>
                <w:szCs w:val="24"/>
                <w:lang w:bidi="ar"/>
              </w:rPr>
            </w:pPr>
            <w:r>
              <w:rPr>
                <w:b/>
                <w:bCs/>
                <w:color w:val="000000"/>
                <w:sz w:val="24"/>
                <w:szCs w:val="24"/>
                <w:lang w:bidi="ar"/>
              </w:rPr>
              <w:t xml:space="preserve">报价</w:t>
            </w:r>
            <w:r/>
          </w:p>
          <w:p>
            <w:pPr>
              <w:jc w:val="center"/>
              <w:widowControl/>
              <w:rPr>
                <w:b/>
                <w:bCs/>
                <w:color w:val="000000"/>
                <w:sz w:val="24"/>
                <w:szCs w:val="24"/>
              </w:rPr>
            </w:pPr>
            <w:r>
              <w:rPr>
                <w:b/>
                <w:bCs/>
                <w:color w:val="000000"/>
                <w:sz w:val="24"/>
                <w:szCs w:val="24"/>
                <w:lang w:bidi="ar"/>
              </w:rPr>
              <w:t xml:space="preserve">（10分）</w:t>
            </w:r>
            <w:r/>
          </w:p>
        </w:tc>
        <w:tc>
          <w:tcPr>
            <w:tcW w:w="7541" w:type="dxa"/>
            <w:vAlign w:val="center"/>
            <w:textDirection w:val="lrTb"/>
            <w:noWrap w:val="false"/>
          </w:tcPr>
          <w:p>
            <w:pPr>
              <w:widowControl/>
              <w:rPr>
                <w:bCs/>
                <w:sz w:val="24"/>
                <w:szCs w:val="24"/>
              </w:rPr>
            </w:pPr>
            <w:r>
              <w:rPr>
                <w:rFonts w:ascii="Times New Roman Regular" w:hAnsi="Times New Roman Regular" w:cs="Times New Roman Regular"/>
                <w:color w:val="000000"/>
                <w:sz w:val="24"/>
                <w:szCs w:val="24"/>
                <w:lang w:bidi="ar"/>
              </w:rPr>
              <w:t xml:space="preserve">以满足招标文件要求的</w:t>
            </w:r>
            <w:r>
              <w:rPr>
                <w:rStyle w:val="728"/>
                <w:rFonts w:hint="default" w:ascii="Times New Roman Regular" w:hAnsi="Times New Roman Regular" w:cs="Times New Roman Regular"/>
                <w:sz w:val="24"/>
                <w:szCs w:val="24"/>
                <w:lang w:bidi="ar"/>
              </w:rPr>
              <w:t xml:space="preserve">最低投标报价为评标基准价，得满分10分，其他投标报价得分=（评标基准价/其他投标报价）×10×100%。</w:t>
            </w:r>
            <w:r/>
          </w:p>
        </w:tc>
      </w:tr>
      <w:tr>
        <w:trPr>
          <w:jc w:val="center"/>
          <w:trHeight w:val="1325"/>
        </w:trPr>
        <w:tc>
          <w:tcPr>
            <w:tcW w:w="1361" w:type="dxa"/>
            <w:vAlign w:val="center"/>
            <w:textDirection w:val="lrTb"/>
            <w:noWrap w:val="false"/>
          </w:tcPr>
          <w:p>
            <w:pPr>
              <w:jc w:val="center"/>
              <w:widowControl/>
              <w:rPr>
                <w:b/>
                <w:bCs/>
                <w:color w:val="000000"/>
                <w:sz w:val="24"/>
                <w:szCs w:val="24"/>
              </w:rPr>
            </w:pPr>
            <w:r>
              <w:rPr>
                <w:b/>
                <w:bCs/>
                <w:color w:val="000000"/>
                <w:sz w:val="24"/>
                <w:szCs w:val="24"/>
              </w:rPr>
              <w:t xml:space="preserve">技术方案（</w:t>
            </w:r>
            <w:r>
              <w:rPr>
                <w:rFonts w:hint="eastAsia"/>
                <w:b/>
                <w:bCs/>
                <w:color w:val="000000"/>
                <w:sz w:val="24"/>
                <w:szCs w:val="24"/>
                <w:lang w:val="en-US" w:eastAsia="zh-CN"/>
              </w:rPr>
              <w:t xml:space="preserve">55</w:t>
            </w:r>
            <w:r>
              <w:rPr>
                <w:b/>
                <w:bCs/>
                <w:color w:val="000000"/>
                <w:sz w:val="24"/>
                <w:szCs w:val="24"/>
              </w:rPr>
              <w:t xml:space="preserve">分）</w:t>
            </w:r>
            <w:r/>
          </w:p>
        </w:tc>
        <w:tc>
          <w:tcPr>
            <w:tcW w:w="7541" w:type="dxa"/>
            <w:vAlign w:val="center"/>
            <w:textDirection w:val="lrTb"/>
            <w:noWrap w:val="false"/>
          </w:tcPr>
          <w:p>
            <w:pPr>
              <w:numPr>
                <w:ilvl w:val="0"/>
                <w:numId w:val="10"/>
              </w:numPr>
              <w:jc w:val="left"/>
              <w:widowControl/>
              <w:rPr>
                <w:b/>
                <w:bCs/>
                <w:color w:val="000000"/>
                <w:sz w:val="24"/>
                <w:szCs w:val="24"/>
                <w:lang w:bidi="ar"/>
              </w:rPr>
            </w:pPr>
            <w:r>
              <w:rPr>
                <w:b/>
                <w:bCs/>
                <w:color w:val="000000"/>
                <w:sz w:val="24"/>
                <w:szCs w:val="24"/>
                <w:lang w:bidi="ar"/>
              </w:rPr>
              <w:t xml:space="preserve">运维服务方案（</w:t>
            </w:r>
            <w:r>
              <w:rPr>
                <w:rFonts w:hint="eastAsia"/>
                <w:b/>
                <w:bCs/>
                <w:color w:val="000000"/>
                <w:sz w:val="24"/>
                <w:szCs w:val="24"/>
                <w:lang w:bidi="ar"/>
              </w:rPr>
              <w:t xml:space="preserve">3</w:t>
            </w:r>
            <w:r>
              <w:rPr>
                <w:rFonts w:hint="eastAsia"/>
                <w:b/>
                <w:bCs/>
                <w:color w:val="000000"/>
                <w:sz w:val="24"/>
                <w:szCs w:val="24"/>
                <w:lang w:val="en-US" w:eastAsia="zh-CN" w:bidi="ar"/>
              </w:rPr>
              <w:t xml:space="preserve">0</w:t>
            </w:r>
            <w:r>
              <w:rPr>
                <w:b/>
                <w:bCs/>
                <w:color w:val="000000"/>
                <w:sz w:val="24"/>
                <w:szCs w:val="24"/>
                <w:lang w:bidi="ar"/>
              </w:rPr>
              <w:t xml:space="preserve">分）</w:t>
            </w:r>
            <w:r/>
          </w:p>
          <w:p>
            <w:pPr>
              <w:jc w:val="left"/>
              <w:widowControl/>
              <w:rPr>
                <w:color w:val="000000"/>
                <w:sz w:val="24"/>
                <w:szCs w:val="24"/>
                <w:lang w:bidi="ar"/>
              </w:rPr>
            </w:pPr>
            <w:r>
              <w:rPr>
                <w:sz w:val="24"/>
              </w:rPr>
              <w:t xml:space="preserve">（1）</w:t>
            </w:r>
            <w:r>
              <w:rPr>
                <w:color w:val="000000"/>
                <w:sz w:val="24"/>
                <w:szCs w:val="24"/>
                <w:lang w:bidi="ar"/>
              </w:rPr>
              <w:t xml:space="preserve">扬州市党政工作平台运维服务方案</w:t>
            </w:r>
            <w:r>
              <w:rPr>
                <w:b/>
                <w:bCs/>
                <w:color w:val="000000"/>
                <w:sz w:val="24"/>
                <w:szCs w:val="24"/>
                <w:lang w:bidi="ar"/>
              </w:rPr>
              <w:t xml:space="preserve">（</w:t>
            </w:r>
            <w:r>
              <w:rPr>
                <w:rFonts w:hint="eastAsia"/>
                <w:b/>
                <w:bCs/>
                <w:color w:val="000000"/>
                <w:sz w:val="24"/>
                <w:szCs w:val="24"/>
                <w:lang w:val="en-US" w:eastAsia="zh-CN" w:bidi="ar"/>
              </w:rPr>
              <w:t xml:space="preserve">5</w:t>
            </w:r>
            <w:r>
              <w:rPr>
                <w:b/>
                <w:bCs/>
                <w:color w:val="000000"/>
                <w:sz w:val="24"/>
                <w:szCs w:val="24"/>
                <w:lang w:bidi="ar"/>
              </w:rPr>
              <w:t xml:space="preserve">分）</w:t>
            </w:r>
            <w:r/>
          </w:p>
          <w:p>
            <w:pPr>
              <w:ind w:firstLine="480"/>
              <w:jc w:val="left"/>
              <w:widowControl/>
              <w:rPr>
                <w:color w:val="000000"/>
                <w:sz w:val="24"/>
                <w:szCs w:val="24"/>
                <w:lang w:bidi="ar"/>
              </w:rPr>
            </w:pPr>
            <w:r>
              <w:rPr>
                <w:color w:val="000000"/>
                <w:sz w:val="24"/>
                <w:szCs w:val="24"/>
                <w:lang w:bidi="ar"/>
              </w:rPr>
              <w:t xml:space="preserve">投标人结合系统运维服务内容及要求提供系统运维服务方案，包括系统运维服务内容和运维</w:t>
            </w:r>
            <w:r>
              <w:rPr>
                <w:rFonts w:hint="eastAsia"/>
                <w:color w:val="000000"/>
                <w:sz w:val="24"/>
                <w:szCs w:val="24"/>
                <w:lang w:val="en-US" w:eastAsia="zh-CN" w:bidi="ar"/>
              </w:rPr>
              <w:t xml:space="preserve">服务形式及</w:t>
            </w:r>
            <w:r>
              <w:rPr>
                <w:color w:val="000000"/>
                <w:sz w:val="24"/>
                <w:szCs w:val="24"/>
                <w:lang w:bidi="ar"/>
              </w:rPr>
              <w:t xml:space="preserve">响应方案，优于采购需求对应章节相关要求的，得</w:t>
            </w:r>
            <w:r>
              <w:rPr>
                <w:rFonts w:hint="eastAsia"/>
                <w:color w:val="000000"/>
                <w:sz w:val="24"/>
                <w:szCs w:val="24"/>
                <w:lang w:val="en-US" w:eastAsia="zh-CN" w:bidi="ar"/>
              </w:rPr>
              <w:t xml:space="preserve">5</w:t>
            </w:r>
            <w:r>
              <w:rPr>
                <w:color w:val="000000"/>
                <w:sz w:val="24"/>
                <w:szCs w:val="24"/>
                <w:lang w:bidi="ar"/>
              </w:rPr>
              <w:t xml:space="preserve">分；符合采购需求对应章节相关要求的，得3分；不符合或未提供的不得分。</w:t>
            </w:r>
            <w:r/>
          </w:p>
          <w:p>
            <w:pPr>
              <w:jc w:val="left"/>
              <w:widowControl/>
              <w:rPr>
                <w:color w:val="000000"/>
                <w:sz w:val="24"/>
                <w:szCs w:val="24"/>
                <w:lang w:bidi="ar"/>
              </w:rPr>
            </w:pPr>
            <w:r>
              <w:rPr>
                <w:color w:val="000000"/>
                <w:sz w:val="24"/>
                <w:szCs w:val="24"/>
                <w:lang w:bidi="ar"/>
              </w:rPr>
            </w:r>
            <w:r/>
          </w:p>
          <w:p>
            <w:pPr>
              <w:jc w:val="left"/>
              <w:widowControl/>
              <w:rPr>
                <w:color w:val="000000"/>
                <w:sz w:val="24"/>
                <w:szCs w:val="24"/>
                <w:lang w:bidi="ar"/>
              </w:rPr>
            </w:pPr>
            <w:r>
              <w:rPr>
                <w:sz w:val="24"/>
              </w:rPr>
              <w:t xml:space="preserve">（</w:t>
            </w:r>
            <w:r>
              <w:rPr>
                <w:rFonts w:hint="eastAsia"/>
                <w:sz w:val="24"/>
              </w:rPr>
              <w:t xml:space="preserve">2</w:t>
            </w:r>
            <w:r>
              <w:rPr>
                <w:sz w:val="24"/>
              </w:rPr>
              <w:t xml:space="preserve">）</w:t>
            </w:r>
            <w:r>
              <w:rPr>
                <w:color w:val="000000"/>
                <w:sz w:val="24"/>
                <w:szCs w:val="24"/>
                <w:lang w:bidi="ar"/>
              </w:rPr>
              <w:t xml:space="preserve">扬州市房建市政交易7.0系统运维服务方案</w:t>
            </w:r>
            <w:r>
              <w:rPr>
                <w:b/>
                <w:bCs/>
                <w:color w:val="000000"/>
                <w:sz w:val="24"/>
                <w:szCs w:val="24"/>
                <w:lang w:bidi="ar"/>
              </w:rPr>
              <w:t xml:space="preserve">（</w:t>
            </w:r>
            <w:r>
              <w:rPr>
                <w:rFonts w:hint="eastAsia"/>
                <w:b/>
                <w:bCs/>
                <w:color w:val="000000"/>
                <w:sz w:val="24"/>
                <w:szCs w:val="24"/>
                <w:lang w:val="en-US" w:eastAsia="zh-CN" w:bidi="ar"/>
              </w:rPr>
              <w:t xml:space="preserve">5</w:t>
            </w:r>
            <w:r>
              <w:rPr>
                <w:b/>
                <w:bCs/>
                <w:color w:val="000000"/>
                <w:sz w:val="24"/>
                <w:szCs w:val="24"/>
                <w:lang w:bidi="ar"/>
              </w:rPr>
              <w:t xml:space="preserve">分）</w:t>
            </w:r>
            <w:r/>
          </w:p>
          <w:p>
            <w:pPr>
              <w:ind w:firstLine="480"/>
              <w:jc w:val="left"/>
              <w:widowControl/>
              <w:rPr>
                <w:color w:val="000000"/>
                <w:sz w:val="24"/>
                <w:szCs w:val="24"/>
                <w:lang w:bidi="ar"/>
              </w:rPr>
            </w:pPr>
            <w:r>
              <w:rPr>
                <w:color w:val="000000"/>
                <w:sz w:val="24"/>
                <w:szCs w:val="24"/>
                <w:lang w:bidi="ar"/>
              </w:rPr>
              <w:t xml:space="preserve">投标人结合系统运维服务内容及要求提供系统运维服务方案，包括系统运维服务内容和运维</w:t>
            </w:r>
            <w:r>
              <w:rPr>
                <w:rFonts w:hint="eastAsia"/>
                <w:color w:val="000000"/>
                <w:sz w:val="24"/>
                <w:szCs w:val="24"/>
                <w:lang w:val="en-US" w:eastAsia="zh-CN" w:bidi="ar"/>
              </w:rPr>
              <w:t xml:space="preserve">服务形式及</w:t>
            </w:r>
            <w:r>
              <w:rPr>
                <w:color w:val="000000"/>
                <w:sz w:val="24"/>
                <w:szCs w:val="24"/>
                <w:lang w:bidi="ar"/>
              </w:rPr>
              <w:t xml:space="preserve">响应方案，优于采购需求对应章节相关要求的，得</w:t>
            </w:r>
            <w:r>
              <w:rPr>
                <w:rFonts w:hint="eastAsia"/>
                <w:color w:val="000000"/>
                <w:sz w:val="24"/>
                <w:szCs w:val="24"/>
                <w:lang w:val="en-US" w:eastAsia="zh-CN" w:bidi="ar"/>
              </w:rPr>
              <w:t xml:space="preserve">5</w:t>
            </w:r>
            <w:r>
              <w:rPr>
                <w:color w:val="000000"/>
                <w:sz w:val="24"/>
                <w:szCs w:val="24"/>
                <w:lang w:bidi="ar"/>
              </w:rPr>
              <w:t xml:space="preserve">分；符合采购需求对应章节相关要求的，得3分；不符合或未提供的不得分。</w:t>
            </w:r>
            <w:r/>
          </w:p>
          <w:p>
            <w:pPr>
              <w:jc w:val="left"/>
              <w:widowControl/>
              <w:rPr>
                <w:color w:val="000000"/>
                <w:sz w:val="24"/>
                <w:szCs w:val="24"/>
                <w:lang w:bidi="ar"/>
              </w:rPr>
            </w:pPr>
            <w:r>
              <w:rPr>
                <w:color w:val="000000"/>
                <w:sz w:val="24"/>
                <w:szCs w:val="24"/>
                <w:lang w:bidi="ar"/>
              </w:rPr>
            </w:r>
            <w:r/>
          </w:p>
          <w:p>
            <w:pPr>
              <w:jc w:val="left"/>
              <w:widowControl/>
              <w:rPr>
                <w:color w:val="000000"/>
                <w:sz w:val="24"/>
                <w:szCs w:val="24"/>
                <w:lang w:bidi="ar"/>
              </w:rPr>
            </w:pPr>
            <w:r>
              <w:rPr>
                <w:sz w:val="24"/>
              </w:rPr>
              <w:t xml:space="preserve">（</w:t>
            </w:r>
            <w:r>
              <w:rPr>
                <w:rFonts w:hint="eastAsia"/>
                <w:sz w:val="24"/>
              </w:rPr>
              <w:t xml:space="preserve">3</w:t>
            </w:r>
            <w:r>
              <w:rPr>
                <w:sz w:val="24"/>
              </w:rPr>
              <w:t xml:space="preserve">）</w:t>
            </w:r>
            <w:r>
              <w:rPr>
                <w:color w:val="000000"/>
                <w:sz w:val="24"/>
                <w:szCs w:val="24"/>
                <w:lang w:bidi="ar"/>
              </w:rPr>
              <w:t xml:space="preserve">一体化政务服务平台电子印章系统运维服务方案</w:t>
            </w:r>
            <w:r>
              <w:rPr>
                <w:b/>
                <w:bCs/>
                <w:color w:val="000000"/>
                <w:sz w:val="24"/>
                <w:szCs w:val="24"/>
                <w:lang w:bidi="ar"/>
              </w:rPr>
              <w:t xml:space="preserve">（</w:t>
            </w:r>
            <w:r>
              <w:rPr>
                <w:rFonts w:hint="eastAsia"/>
                <w:b/>
                <w:bCs/>
                <w:color w:val="000000"/>
                <w:sz w:val="24"/>
                <w:szCs w:val="24"/>
                <w:lang w:val="en-US" w:eastAsia="zh-CN" w:bidi="ar"/>
              </w:rPr>
              <w:t xml:space="preserve">5</w:t>
            </w:r>
            <w:r>
              <w:rPr>
                <w:b/>
                <w:bCs/>
                <w:color w:val="000000"/>
                <w:sz w:val="24"/>
                <w:szCs w:val="24"/>
                <w:lang w:bidi="ar"/>
              </w:rPr>
              <w:t xml:space="preserve">分）</w:t>
            </w:r>
            <w:r/>
          </w:p>
          <w:p>
            <w:pPr>
              <w:ind w:firstLine="480"/>
              <w:jc w:val="left"/>
              <w:widowControl/>
              <w:rPr>
                <w:color w:val="000000"/>
                <w:sz w:val="24"/>
                <w:szCs w:val="24"/>
                <w:lang w:bidi="ar"/>
              </w:rPr>
            </w:pPr>
            <w:r>
              <w:rPr>
                <w:color w:val="000000"/>
                <w:sz w:val="24"/>
                <w:szCs w:val="24"/>
                <w:lang w:bidi="ar"/>
              </w:rPr>
              <w:t xml:space="preserve">投标人结合系统运维服务内容及要求提供系统运维服务方案，包括系统运维服务内容和运维</w:t>
            </w:r>
            <w:r>
              <w:rPr>
                <w:rFonts w:hint="eastAsia"/>
                <w:color w:val="000000"/>
                <w:sz w:val="24"/>
                <w:szCs w:val="24"/>
                <w:lang w:val="en-US" w:eastAsia="zh-CN" w:bidi="ar"/>
              </w:rPr>
              <w:t xml:space="preserve">服务形式及</w:t>
            </w:r>
            <w:r>
              <w:rPr>
                <w:color w:val="000000"/>
                <w:sz w:val="24"/>
                <w:szCs w:val="24"/>
                <w:lang w:bidi="ar"/>
              </w:rPr>
              <w:t xml:space="preserve">响应方案，优于采购需求对应章节相关要求的，得</w:t>
            </w:r>
            <w:r>
              <w:rPr>
                <w:rFonts w:hint="eastAsia"/>
                <w:color w:val="000000"/>
                <w:sz w:val="24"/>
                <w:szCs w:val="24"/>
                <w:lang w:val="en-US" w:eastAsia="zh-CN" w:bidi="ar"/>
              </w:rPr>
              <w:t xml:space="preserve">5</w:t>
            </w:r>
            <w:r>
              <w:rPr>
                <w:color w:val="000000"/>
                <w:sz w:val="24"/>
                <w:szCs w:val="24"/>
                <w:lang w:bidi="ar"/>
              </w:rPr>
              <w:t xml:space="preserve">分；符合采购需求对应章节相关要求的，得3分；不符合或未提供的不得分。</w:t>
            </w:r>
            <w:r/>
          </w:p>
          <w:p>
            <w:pPr>
              <w:jc w:val="left"/>
              <w:widowControl/>
              <w:rPr>
                <w:color w:val="000000"/>
                <w:sz w:val="24"/>
                <w:szCs w:val="24"/>
                <w:lang w:bidi="ar"/>
              </w:rPr>
            </w:pPr>
            <w:r>
              <w:rPr>
                <w:color w:val="000000"/>
                <w:sz w:val="24"/>
                <w:szCs w:val="24"/>
                <w:lang w:bidi="ar"/>
              </w:rPr>
            </w:r>
            <w:r/>
          </w:p>
          <w:p>
            <w:pPr>
              <w:jc w:val="left"/>
              <w:widowControl/>
              <w:rPr>
                <w:color w:val="000000"/>
                <w:sz w:val="24"/>
                <w:szCs w:val="24"/>
                <w:lang w:bidi="ar"/>
              </w:rPr>
            </w:pPr>
            <w:r>
              <w:rPr>
                <w:sz w:val="24"/>
              </w:rPr>
              <w:t xml:space="preserve">（</w:t>
            </w:r>
            <w:r>
              <w:rPr>
                <w:rFonts w:hint="eastAsia"/>
                <w:sz w:val="24"/>
              </w:rPr>
              <w:t xml:space="preserve">4</w:t>
            </w:r>
            <w:r>
              <w:rPr>
                <w:sz w:val="24"/>
              </w:rPr>
              <w:t xml:space="preserve">）</w:t>
            </w:r>
            <w:r>
              <w:rPr>
                <w:color w:val="000000"/>
                <w:sz w:val="24"/>
                <w:szCs w:val="24"/>
                <w:lang w:bidi="ar"/>
              </w:rPr>
              <w:t xml:space="preserve">扬州市政府门户网站内容保障运维服务方案</w:t>
            </w:r>
            <w:r>
              <w:rPr>
                <w:b/>
                <w:bCs/>
                <w:color w:val="000000"/>
                <w:sz w:val="24"/>
                <w:szCs w:val="24"/>
                <w:lang w:bidi="ar"/>
              </w:rPr>
              <w:t xml:space="preserve">（</w:t>
            </w:r>
            <w:r>
              <w:rPr>
                <w:rFonts w:hint="eastAsia"/>
                <w:b/>
                <w:bCs/>
                <w:color w:val="000000"/>
                <w:sz w:val="24"/>
                <w:szCs w:val="24"/>
                <w:lang w:val="en-US" w:eastAsia="zh-CN" w:bidi="ar"/>
              </w:rPr>
              <w:t xml:space="preserve">5</w:t>
            </w:r>
            <w:r>
              <w:rPr>
                <w:b/>
                <w:bCs/>
                <w:color w:val="000000"/>
                <w:sz w:val="24"/>
                <w:szCs w:val="24"/>
                <w:lang w:bidi="ar"/>
              </w:rPr>
              <w:t xml:space="preserve">分）</w:t>
            </w:r>
            <w:r/>
          </w:p>
          <w:p>
            <w:pPr>
              <w:ind w:firstLine="480"/>
              <w:jc w:val="left"/>
              <w:widowControl/>
              <w:rPr>
                <w:color w:val="000000"/>
                <w:sz w:val="24"/>
                <w:szCs w:val="24"/>
                <w:lang w:bidi="ar"/>
              </w:rPr>
            </w:pPr>
            <w:r>
              <w:rPr>
                <w:color w:val="000000"/>
                <w:sz w:val="24"/>
                <w:szCs w:val="24"/>
                <w:lang w:bidi="ar"/>
              </w:rPr>
              <w:t xml:space="preserve">投标人结合系统运维服务内容及要求提供系统运维服务方案，包括</w:t>
            </w:r>
            <w:r>
              <w:rPr>
                <w:rFonts w:hint="eastAsia"/>
                <w:color w:val="000000"/>
                <w:sz w:val="24"/>
                <w:szCs w:val="24"/>
                <w:lang w:val="en-US" w:eastAsia="zh-CN" w:bidi="ar"/>
              </w:rPr>
              <w:t xml:space="preserve">业务保障</w:t>
            </w:r>
            <w:r>
              <w:rPr>
                <w:color w:val="000000"/>
                <w:sz w:val="24"/>
                <w:szCs w:val="24"/>
                <w:lang w:bidi="ar"/>
              </w:rPr>
              <w:t xml:space="preserve">服务内容和运维</w:t>
            </w:r>
            <w:r>
              <w:rPr>
                <w:rFonts w:hint="eastAsia"/>
                <w:color w:val="000000"/>
                <w:sz w:val="24"/>
                <w:szCs w:val="24"/>
                <w:lang w:val="en-US" w:eastAsia="zh-CN" w:bidi="ar"/>
              </w:rPr>
              <w:t xml:space="preserve">服务形式及</w:t>
            </w:r>
            <w:r>
              <w:rPr>
                <w:color w:val="000000"/>
                <w:sz w:val="24"/>
                <w:szCs w:val="24"/>
                <w:lang w:bidi="ar"/>
              </w:rPr>
              <w:t xml:space="preserve">响应方案，优于采购需求对应章节相关要求的，得</w:t>
            </w:r>
            <w:r>
              <w:rPr>
                <w:rFonts w:hint="eastAsia"/>
                <w:color w:val="000000"/>
                <w:sz w:val="24"/>
                <w:szCs w:val="24"/>
                <w:lang w:val="en-US" w:eastAsia="zh-CN" w:bidi="ar"/>
              </w:rPr>
              <w:t xml:space="preserve">5</w:t>
            </w:r>
            <w:r>
              <w:rPr>
                <w:color w:val="000000"/>
                <w:sz w:val="24"/>
                <w:szCs w:val="24"/>
                <w:lang w:bidi="ar"/>
              </w:rPr>
              <w:t xml:space="preserve">分；符合采购需求对应章节相关要求的，得3分；不符合或未提供的不得分。</w:t>
            </w:r>
            <w:r/>
          </w:p>
          <w:p>
            <w:pPr>
              <w:jc w:val="left"/>
              <w:widowControl/>
              <w:rPr>
                <w:color w:val="000000"/>
                <w:sz w:val="24"/>
                <w:szCs w:val="24"/>
                <w:lang w:bidi="ar"/>
              </w:rPr>
            </w:pPr>
            <w:r>
              <w:rPr>
                <w:color w:val="000000"/>
                <w:sz w:val="24"/>
                <w:szCs w:val="24"/>
                <w:lang w:bidi="ar"/>
              </w:rPr>
            </w:r>
            <w:r/>
          </w:p>
          <w:p>
            <w:pPr>
              <w:jc w:val="left"/>
              <w:widowControl/>
              <w:rPr>
                <w:color w:val="000000"/>
                <w:sz w:val="24"/>
                <w:szCs w:val="24"/>
                <w:lang w:bidi="ar"/>
              </w:rPr>
            </w:pPr>
            <w:r>
              <w:rPr>
                <w:sz w:val="24"/>
              </w:rPr>
              <w:t xml:space="preserve">（</w:t>
            </w:r>
            <w:r>
              <w:rPr>
                <w:rFonts w:hint="eastAsia"/>
                <w:sz w:val="24"/>
              </w:rPr>
              <w:t xml:space="preserve">5</w:t>
            </w:r>
            <w:r>
              <w:rPr>
                <w:sz w:val="24"/>
              </w:rPr>
              <w:t xml:space="preserve">）</w:t>
            </w:r>
            <w:r>
              <w:rPr>
                <w:color w:val="000000"/>
                <w:sz w:val="24"/>
                <w:szCs w:val="24"/>
                <w:lang w:bidi="ar"/>
              </w:rPr>
              <w:t xml:space="preserve">扬州市公共资源交易平台系统运维服务方案</w:t>
            </w:r>
            <w:r>
              <w:rPr>
                <w:b/>
                <w:bCs/>
                <w:color w:val="000000"/>
                <w:sz w:val="24"/>
                <w:szCs w:val="24"/>
                <w:lang w:bidi="ar"/>
              </w:rPr>
              <w:t xml:space="preserve">（</w:t>
            </w:r>
            <w:r>
              <w:rPr>
                <w:rFonts w:hint="eastAsia"/>
                <w:b/>
                <w:bCs/>
                <w:color w:val="000000"/>
                <w:sz w:val="24"/>
                <w:szCs w:val="24"/>
                <w:lang w:val="en-US" w:eastAsia="zh-CN" w:bidi="ar"/>
              </w:rPr>
              <w:t xml:space="preserve">5</w:t>
            </w:r>
            <w:r>
              <w:rPr>
                <w:b/>
                <w:bCs/>
                <w:color w:val="000000"/>
                <w:sz w:val="24"/>
                <w:szCs w:val="24"/>
                <w:lang w:bidi="ar"/>
              </w:rPr>
              <w:t xml:space="preserve">分）</w:t>
            </w:r>
            <w:r/>
          </w:p>
          <w:p>
            <w:pPr>
              <w:ind w:firstLine="480"/>
              <w:jc w:val="left"/>
              <w:widowControl/>
              <w:rPr>
                <w:color w:val="000000"/>
                <w:sz w:val="24"/>
                <w:szCs w:val="24"/>
                <w:lang w:bidi="ar"/>
              </w:rPr>
            </w:pPr>
            <w:r>
              <w:rPr>
                <w:color w:val="000000"/>
                <w:sz w:val="24"/>
                <w:szCs w:val="24"/>
                <w:lang w:bidi="ar"/>
              </w:rPr>
              <w:t xml:space="preserve">投标人结合系统运维服务内容及要求提供系统运维服务方案，包括系统运维服务内容和运维</w:t>
            </w:r>
            <w:r>
              <w:rPr>
                <w:rFonts w:hint="eastAsia"/>
                <w:color w:val="000000"/>
                <w:sz w:val="24"/>
                <w:szCs w:val="24"/>
                <w:lang w:val="en-US" w:eastAsia="zh-CN" w:bidi="ar"/>
              </w:rPr>
              <w:t xml:space="preserve">服务形式及</w:t>
            </w:r>
            <w:r>
              <w:rPr>
                <w:color w:val="000000"/>
                <w:sz w:val="24"/>
                <w:szCs w:val="24"/>
                <w:lang w:bidi="ar"/>
              </w:rPr>
              <w:t xml:space="preserve">响应方案，优于采购需求对应章节相关要求的，得</w:t>
            </w:r>
            <w:r>
              <w:rPr>
                <w:rFonts w:hint="eastAsia"/>
                <w:color w:val="000000"/>
                <w:sz w:val="24"/>
                <w:szCs w:val="24"/>
                <w:lang w:val="en-US" w:eastAsia="zh-CN" w:bidi="ar"/>
              </w:rPr>
              <w:t xml:space="preserve">5</w:t>
            </w:r>
            <w:r>
              <w:rPr>
                <w:color w:val="000000"/>
                <w:sz w:val="24"/>
                <w:szCs w:val="24"/>
                <w:lang w:bidi="ar"/>
              </w:rPr>
              <w:t xml:space="preserve">分；符合采购需求对应章节相关要求的，得3分；不符合或未提供的不得分。</w:t>
            </w:r>
            <w:r/>
          </w:p>
          <w:p>
            <w:pPr>
              <w:jc w:val="left"/>
              <w:widowControl/>
              <w:rPr>
                <w:color w:val="000000"/>
                <w:sz w:val="24"/>
                <w:szCs w:val="24"/>
                <w:lang w:bidi="ar"/>
              </w:rPr>
            </w:pPr>
            <w:r>
              <w:rPr>
                <w:color w:val="000000"/>
                <w:sz w:val="24"/>
                <w:szCs w:val="24"/>
                <w:lang w:bidi="ar"/>
              </w:rPr>
            </w:r>
            <w:r/>
          </w:p>
          <w:p>
            <w:pPr>
              <w:jc w:val="left"/>
              <w:widowControl/>
              <w:rPr>
                <w:color w:val="000000"/>
                <w:sz w:val="24"/>
                <w:szCs w:val="24"/>
                <w:lang w:bidi="ar"/>
              </w:rPr>
            </w:pPr>
            <w:r>
              <w:rPr>
                <w:sz w:val="24"/>
              </w:rPr>
              <w:t xml:space="preserve">（</w:t>
            </w:r>
            <w:r>
              <w:rPr>
                <w:rFonts w:hint="eastAsia"/>
                <w:sz w:val="24"/>
              </w:rPr>
              <w:t xml:space="preserve">6</w:t>
            </w:r>
            <w:r>
              <w:rPr>
                <w:sz w:val="24"/>
              </w:rPr>
              <w:t xml:space="preserve">）</w:t>
            </w:r>
            <w:r>
              <w:rPr>
                <w:color w:val="000000"/>
                <w:sz w:val="24"/>
                <w:szCs w:val="24"/>
                <w:lang w:bidi="ar"/>
              </w:rPr>
              <w:t xml:space="preserve">扬州市国家电子营业执照应用服务系统运维服务方案</w:t>
            </w:r>
            <w:r>
              <w:rPr>
                <w:b/>
                <w:bCs/>
                <w:color w:val="000000"/>
                <w:sz w:val="24"/>
                <w:szCs w:val="24"/>
                <w:lang w:bidi="ar"/>
              </w:rPr>
              <w:t xml:space="preserve">（</w:t>
            </w:r>
            <w:r>
              <w:rPr>
                <w:rFonts w:hint="eastAsia"/>
                <w:b/>
                <w:bCs/>
                <w:color w:val="000000"/>
                <w:sz w:val="24"/>
                <w:szCs w:val="24"/>
                <w:lang w:val="en-US" w:eastAsia="zh-CN" w:bidi="ar"/>
              </w:rPr>
              <w:t xml:space="preserve">5</w:t>
            </w:r>
            <w:r>
              <w:rPr>
                <w:b/>
                <w:bCs/>
                <w:color w:val="000000"/>
                <w:sz w:val="24"/>
                <w:szCs w:val="24"/>
                <w:lang w:bidi="ar"/>
              </w:rPr>
              <w:t xml:space="preserve">分）</w:t>
            </w:r>
            <w:r/>
          </w:p>
          <w:p>
            <w:pPr>
              <w:ind w:firstLine="480"/>
              <w:jc w:val="left"/>
              <w:widowControl/>
              <w:rPr>
                <w:color w:val="000000"/>
                <w:sz w:val="24"/>
                <w:szCs w:val="24"/>
                <w:lang w:bidi="ar"/>
              </w:rPr>
            </w:pPr>
            <w:r>
              <w:rPr>
                <w:color w:val="000000"/>
                <w:sz w:val="24"/>
                <w:szCs w:val="24"/>
                <w:lang w:bidi="ar"/>
              </w:rPr>
              <w:t xml:space="preserve">投标人结合系统运维服务内容及要求提供系统运维服务方案，包括系统运维服务内容和运维</w:t>
            </w:r>
            <w:r>
              <w:rPr>
                <w:rFonts w:hint="eastAsia"/>
                <w:color w:val="000000"/>
                <w:sz w:val="24"/>
                <w:szCs w:val="24"/>
                <w:lang w:bidi="ar"/>
              </w:rPr>
              <w:t xml:space="preserve">服务形式及</w:t>
            </w:r>
            <w:r>
              <w:rPr>
                <w:color w:val="000000"/>
                <w:sz w:val="24"/>
                <w:szCs w:val="24"/>
                <w:lang w:bidi="ar"/>
              </w:rPr>
              <w:t xml:space="preserve">响应方案，优于采购需求对应章节相关要求的，得</w:t>
            </w:r>
            <w:r>
              <w:rPr>
                <w:rFonts w:hint="eastAsia"/>
                <w:color w:val="000000"/>
                <w:sz w:val="24"/>
                <w:szCs w:val="24"/>
                <w:lang w:val="en-US" w:eastAsia="zh-CN" w:bidi="ar"/>
              </w:rPr>
              <w:t xml:space="preserve">5</w:t>
            </w:r>
            <w:r>
              <w:rPr>
                <w:color w:val="000000"/>
                <w:sz w:val="24"/>
                <w:szCs w:val="24"/>
                <w:lang w:bidi="ar"/>
              </w:rPr>
              <w:t xml:space="preserve">分；符合采购需求对应章节相关要求的，得3分；不符合或未提供的不得分。</w:t>
            </w:r>
            <w:r/>
          </w:p>
          <w:p>
            <w:pPr>
              <w:jc w:val="left"/>
              <w:widowControl/>
              <w:rPr>
                <w:color w:val="000000"/>
                <w:sz w:val="24"/>
                <w:szCs w:val="24"/>
                <w:lang w:bidi="ar"/>
              </w:rPr>
            </w:pPr>
            <w:r>
              <w:rPr>
                <w:color w:val="000000"/>
                <w:sz w:val="24"/>
                <w:szCs w:val="24"/>
                <w:lang w:bidi="ar"/>
              </w:rPr>
            </w:r>
            <w:r/>
          </w:p>
          <w:p>
            <w:pPr>
              <w:numPr>
                <w:ilvl w:val="0"/>
                <w:numId w:val="10"/>
              </w:numPr>
              <w:jc w:val="left"/>
              <w:widowControl/>
              <w:rPr>
                <w:b/>
                <w:bCs/>
                <w:color w:val="000000"/>
                <w:sz w:val="24"/>
                <w:szCs w:val="24"/>
                <w:lang w:bidi="ar"/>
              </w:rPr>
            </w:pPr>
            <w:r>
              <w:rPr>
                <w:b/>
                <w:bCs/>
                <w:color w:val="000000"/>
                <w:sz w:val="24"/>
                <w:szCs w:val="24"/>
                <w:lang w:bidi="ar"/>
              </w:rPr>
              <w:t xml:space="preserve">一体化运维体系技术试点实施方案（</w:t>
            </w:r>
            <w:r>
              <w:rPr>
                <w:rFonts w:hint="eastAsia"/>
                <w:b/>
                <w:bCs/>
                <w:color w:val="000000"/>
                <w:sz w:val="24"/>
                <w:szCs w:val="24"/>
                <w:lang w:bidi="ar"/>
              </w:rPr>
              <w:t xml:space="preserve">20</w:t>
            </w:r>
            <w:r>
              <w:rPr>
                <w:b/>
                <w:bCs/>
                <w:color w:val="000000"/>
                <w:sz w:val="24"/>
                <w:szCs w:val="24"/>
                <w:lang w:bidi="ar"/>
              </w:rPr>
              <w:t xml:space="preserve">分）</w:t>
            </w:r>
            <w:r/>
          </w:p>
          <w:p>
            <w:pPr>
              <w:jc w:val="left"/>
              <w:widowControl/>
              <w:rPr>
                <w:color w:val="000000"/>
                <w:sz w:val="24"/>
                <w:szCs w:val="24"/>
                <w:lang w:bidi="ar"/>
              </w:rPr>
            </w:pPr>
            <w:r>
              <w:rPr>
                <w:sz w:val="24"/>
              </w:rPr>
              <w:t xml:space="preserve">（1）</w:t>
            </w:r>
            <w:r>
              <w:rPr>
                <w:rFonts w:hint="eastAsia"/>
                <w:color w:val="000000"/>
                <w:sz w:val="24"/>
                <w:szCs w:val="24"/>
                <w:lang w:bidi="ar"/>
              </w:rPr>
              <w:t xml:space="preserve">系统现状调研方案</w:t>
            </w:r>
            <w:r>
              <w:rPr>
                <w:b w:val="0"/>
                <w:bCs w:val="0"/>
                <w:color w:val="000000"/>
                <w:sz w:val="24"/>
                <w:szCs w:val="24"/>
                <w:lang w:bidi="ar"/>
              </w:rPr>
              <w:t xml:space="preserve">（</w:t>
            </w:r>
            <w:r>
              <w:rPr>
                <w:rFonts w:hint="eastAsia"/>
                <w:b w:val="0"/>
                <w:bCs w:val="0"/>
                <w:color w:val="000000"/>
                <w:sz w:val="24"/>
                <w:szCs w:val="24"/>
                <w:lang w:bidi="ar"/>
              </w:rPr>
              <w:t xml:space="preserve">5</w:t>
            </w:r>
            <w:r>
              <w:rPr>
                <w:b w:val="0"/>
                <w:bCs w:val="0"/>
                <w:color w:val="000000"/>
                <w:sz w:val="24"/>
                <w:szCs w:val="24"/>
                <w:lang w:bidi="ar"/>
              </w:rPr>
              <w:t xml:space="preserve">分）</w:t>
            </w:r>
            <w:r/>
          </w:p>
          <w:p>
            <w:pPr>
              <w:ind w:firstLine="480"/>
              <w:jc w:val="left"/>
              <w:widowControl/>
              <w:rPr>
                <w:color w:val="000000"/>
                <w:sz w:val="24"/>
                <w:szCs w:val="24"/>
                <w:lang w:bidi="ar"/>
              </w:rPr>
            </w:pPr>
            <w:r>
              <w:rPr>
                <w:rFonts w:hint="eastAsia"/>
                <w:color w:val="000000"/>
                <w:sz w:val="24"/>
                <w:szCs w:val="24"/>
                <w:lang w:bidi="ar"/>
              </w:rPr>
              <w:t xml:space="preserve">投标人结合一体化运维体系技术试点对接服务中该阶段的阶段目标与主要任务的要求，提供系统现状调研方案，优于招标要求的得5分，符合招标要求的得3分；不符合或未提供的不得分。</w:t>
            </w:r>
            <w:r/>
          </w:p>
          <w:p>
            <w:pPr>
              <w:jc w:val="left"/>
              <w:widowControl/>
              <w:rPr>
                <w:color w:val="000000"/>
                <w:sz w:val="24"/>
                <w:szCs w:val="24"/>
                <w:lang w:bidi="ar"/>
              </w:rPr>
            </w:pPr>
            <w:r>
              <w:rPr>
                <w:color w:val="000000"/>
                <w:sz w:val="24"/>
                <w:szCs w:val="24"/>
                <w:lang w:bidi="ar"/>
              </w:rPr>
            </w:r>
            <w:r/>
          </w:p>
          <w:p>
            <w:pPr>
              <w:jc w:val="left"/>
              <w:widowControl/>
              <w:rPr>
                <w:color w:val="000000"/>
                <w:sz w:val="24"/>
                <w:szCs w:val="24"/>
                <w:lang w:bidi="ar"/>
              </w:rPr>
            </w:pPr>
            <w:r>
              <w:rPr>
                <w:sz w:val="24"/>
              </w:rPr>
              <w:t xml:space="preserve">（</w:t>
            </w:r>
            <w:r>
              <w:rPr>
                <w:rFonts w:hint="eastAsia"/>
                <w:sz w:val="24"/>
              </w:rPr>
              <w:t xml:space="preserve">2</w:t>
            </w:r>
            <w:r>
              <w:rPr>
                <w:sz w:val="24"/>
              </w:rPr>
              <w:t xml:space="preserve">）</w:t>
            </w:r>
            <w:r>
              <w:rPr>
                <w:rFonts w:hint="eastAsia"/>
                <w:color w:val="000000"/>
                <w:sz w:val="24"/>
                <w:szCs w:val="24"/>
                <w:lang w:bidi="ar"/>
              </w:rPr>
              <w:t xml:space="preserve">系统适配评估方案</w:t>
            </w:r>
            <w:r>
              <w:rPr>
                <w:b w:val="0"/>
                <w:bCs w:val="0"/>
                <w:color w:val="000000"/>
                <w:sz w:val="24"/>
                <w:szCs w:val="24"/>
                <w:lang w:bidi="ar"/>
              </w:rPr>
              <w:t xml:space="preserve">（</w:t>
            </w:r>
            <w:r>
              <w:rPr>
                <w:rFonts w:hint="eastAsia"/>
                <w:b w:val="0"/>
                <w:bCs w:val="0"/>
                <w:color w:val="000000"/>
                <w:sz w:val="24"/>
                <w:szCs w:val="24"/>
                <w:lang w:bidi="ar"/>
              </w:rPr>
              <w:t xml:space="preserve">5</w:t>
            </w:r>
            <w:r>
              <w:rPr>
                <w:b w:val="0"/>
                <w:bCs w:val="0"/>
                <w:color w:val="000000"/>
                <w:sz w:val="24"/>
                <w:szCs w:val="24"/>
                <w:lang w:bidi="ar"/>
              </w:rPr>
              <w:t xml:space="preserve">分）</w:t>
            </w:r>
            <w:r/>
          </w:p>
          <w:p>
            <w:pPr>
              <w:ind w:firstLine="480"/>
              <w:jc w:val="left"/>
              <w:widowControl/>
              <w:rPr>
                <w:color w:val="000000"/>
                <w:sz w:val="24"/>
                <w:szCs w:val="24"/>
                <w:lang w:bidi="ar"/>
              </w:rPr>
            </w:pPr>
            <w:r>
              <w:rPr>
                <w:rFonts w:hint="eastAsia"/>
                <w:color w:val="000000"/>
                <w:sz w:val="24"/>
                <w:szCs w:val="24"/>
                <w:lang w:bidi="ar"/>
              </w:rPr>
              <w:t xml:space="preserve">投标人结合一体化运维体系技术试点对接服务中该阶段的阶段目标与主要任务的要求，提供系统适配评估方案，优于招标要求的得5分，符合招标要求的得3分；不符合或未提供的不得分。</w:t>
            </w:r>
            <w:r/>
          </w:p>
          <w:p>
            <w:pPr>
              <w:jc w:val="left"/>
              <w:widowControl/>
              <w:rPr>
                <w:color w:val="000000"/>
                <w:sz w:val="24"/>
                <w:szCs w:val="24"/>
                <w:lang w:bidi="ar"/>
              </w:rPr>
            </w:pPr>
            <w:r>
              <w:rPr>
                <w:color w:val="000000"/>
                <w:sz w:val="24"/>
                <w:szCs w:val="24"/>
                <w:lang w:bidi="ar"/>
              </w:rPr>
            </w:r>
            <w:r/>
          </w:p>
          <w:p>
            <w:pPr>
              <w:jc w:val="left"/>
              <w:widowControl/>
              <w:rPr>
                <w:color w:val="000000"/>
                <w:sz w:val="24"/>
                <w:szCs w:val="24"/>
                <w:lang w:bidi="ar"/>
              </w:rPr>
            </w:pPr>
            <w:r>
              <w:rPr>
                <w:sz w:val="24"/>
              </w:rPr>
              <w:t xml:space="preserve">（</w:t>
            </w:r>
            <w:r>
              <w:rPr>
                <w:rFonts w:hint="eastAsia"/>
                <w:sz w:val="24"/>
              </w:rPr>
              <w:t xml:space="preserve">3</w:t>
            </w:r>
            <w:r>
              <w:rPr>
                <w:sz w:val="24"/>
              </w:rPr>
              <w:t xml:space="preserve">）</w:t>
            </w:r>
            <w:r>
              <w:rPr>
                <w:rFonts w:hint="eastAsia"/>
                <w:color w:val="000000"/>
                <w:sz w:val="24"/>
                <w:szCs w:val="24"/>
                <w:lang w:bidi="ar"/>
              </w:rPr>
              <w:t xml:space="preserve">系统配置与实施</w:t>
            </w:r>
            <w:r>
              <w:rPr>
                <w:b w:val="0"/>
                <w:bCs w:val="0"/>
                <w:color w:val="000000"/>
                <w:sz w:val="24"/>
                <w:szCs w:val="24"/>
                <w:lang w:bidi="ar"/>
              </w:rPr>
              <w:t xml:space="preserve">（</w:t>
            </w:r>
            <w:r>
              <w:rPr>
                <w:rFonts w:hint="eastAsia"/>
                <w:b w:val="0"/>
                <w:bCs w:val="0"/>
                <w:color w:val="000000"/>
                <w:sz w:val="24"/>
                <w:szCs w:val="24"/>
                <w:lang w:bidi="ar"/>
              </w:rPr>
              <w:t xml:space="preserve">5</w:t>
            </w:r>
            <w:r>
              <w:rPr>
                <w:b w:val="0"/>
                <w:bCs w:val="0"/>
                <w:color w:val="000000"/>
                <w:sz w:val="24"/>
                <w:szCs w:val="24"/>
                <w:lang w:bidi="ar"/>
              </w:rPr>
              <w:t xml:space="preserve">分）</w:t>
            </w:r>
            <w:r/>
          </w:p>
          <w:p>
            <w:pPr>
              <w:ind w:firstLine="480"/>
              <w:jc w:val="left"/>
              <w:widowControl/>
              <w:rPr>
                <w:color w:val="000000"/>
                <w:sz w:val="24"/>
                <w:szCs w:val="24"/>
                <w:lang w:bidi="ar"/>
              </w:rPr>
            </w:pPr>
            <w:r>
              <w:rPr>
                <w:rFonts w:hint="eastAsia"/>
                <w:color w:val="000000"/>
                <w:sz w:val="24"/>
                <w:szCs w:val="24"/>
                <w:lang w:bidi="ar"/>
              </w:rPr>
              <w:t xml:space="preserve">投标人结合一体化运维体系技术试点对接服务中该阶段的阶段目标与主要任务的要求，提供系统配置与实施，优于招标要求的得5分，符合招标要求的得3分；不符合或未提供的不得分。</w:t>
            </w:r>
            <w:r/>
          </w:p>
          <w:p>
            <w:pPr>
              <w:jc w:val="left"/>
              <w:widowControl/>
              <w:rPr>
                <w:color w:val="000000"/>
                <w:sz w:val="24"/>
                <w:szCs w:val="24"/>
                <w:lang w:bidi="ar"/>
              </w:rPr>
            </w:pPr>
            <w:r>
              <w:rPr>
                <w:color w:val="000000"/>
                <w:sz w:val="24"/>
                <w:szCs w:val="24"/>
                <w:lang w:bidi="ar"/>
              </w:rPr>
            </w:r>
            <w:r/>
          </w:p>
          <w:p>
            <w:pPr>
              <w:jc w:val="left"/>
              <w:widowControl/>
              <w:rPr>
                <w:color w:val="000000"/>
                <w:sz w:val="24"/>
                <w:szCs w:val="24"/>
                <w:lang w:bidi="ar"/>
              </w:rPr>
            </w:pPr>
            <w:r>
              <w:rPr>
                <w:sz w:val="24"/>
              </w:rPr>
              <w:t xml:space="preserve">（</w:t>
            </w:r>
            <w:r>
              <w:rPr>
                <w:rFonts w:hint="eastAsia"/>
                <w:sz w:val="24"/>
              </w:rPr>
              <w:t xml:space="preserve">4</w:t>
            </w:r>
            <w:r>
              <w:rPr>
                <w:sz w:val="24"/>
              </w:rPr>
              <w:t xml:space="preserve">）</w:t>
            </w:r>
            <w:r>
              <w:rPr>
                <w:rFonts w:hint="eastAsia"/>
                <w:color w:val="000000"/>
                <w:sz w:val="24"/>
                <w:szCs w:val="24"/>
                <w:lang w:bidi="ar"/>
              </w:rPr>
              <w:t xml:space="preserve">系统接入纳管</w:t>
            </w:r>
            <w:r>
              <w:rPr>
                <w:b w:val="0"/>
                <w:bCs w:val="0"/>
                <w:color w:val="000000"/>
                <w:sz w:val="24"/>
                <w:szCs w:val="24"/>
                <w:lang w:bidi="ar"/>
              </w:rPr>
              <w:t xml:space="preserve">（</w:t>
            </w:r>
            <w:r>
              <w:rPr>
                <w:rFonts w:hint="eastAsia"/>
                <w:b w:val="0"/>
                <w:bCs w:val="0"/>
                <w:color w:val="000000"/>
                <w:sz w:val="24"/>
                <w:szCs w:val="24"/>
                <w:lang w:bidi="ar"/>
              </w:rPr>
              <w:t xml:space="preserve">5</w:t>
            </w:r>
            <w:r>
              <w:rPr>
                <w:b w:val="0"/>
                <w:bCs w:val="0"/>
                <w:color w:val="000000"/>
                <w:sz w:val="24"/>
                <w:szCs w:val="24"/>
                <w:lang w:bidi="ar"/>
              </w:rPr>
              <w:t xml:space="preserve">分）</w:t>
            </w:r>
            <w:r/>
          </w:p>
          <w:p>
            <w:pPr>
              <w:ind w:firstLine="480"/>
              <w:jc w:val="left"/>
              <w:widowControl/>
              <w:rPr>
                <w:color w:val="000000"/>
                <w:sz w:val="24"/>
                <w:szCs w:val="24"/>
                <w:lang w:bidi="ar"/>
              </w:rPr>
            </w:pPr>
            <w:r>
              <w:rPr>
                <w:rFonts w:hint="eastAsia"/>
                <w:color w:val="000000"/>
                <w:sz w:val="24"/>
                <w:szCs w:val="24"/>
                <w:lang w:bidi="ar"/>
              </w:rPr>
              <w:t xml:space="preserve">投标人结合一体化运维体系技术试点对接服务中该阶段的阶段目标与主要任务的要求，提供系统接入纳管方案，优于招标要求的得5分，符合招标要求的得3分；不符合或未提供的不得分。</w:t>
            </w:r>
            <w:r/>
          </w:p>
          <w:p>
            <w:pPr>
              <w:jc w:val="left"/>
              <w:widowControl/>
              <w:rPr>
                <w:color w:val="000000"/>
                <w:sz w:val="24"/>
                <w:szCs w:val="24"/>
                <w:lang w:bidi="ar"/>
              </w:rPr>
            </w:pPr>
            <w:r>
              <w:rPr>
                <w:color w:val="000000"/>
                <w:sz w:val="24"/>
                <w:szCs w:val="24"/>
                <w:lang w:bidi="ar"/>
              </w:rPr>
            </w:r>
            <w:r/>
          </w:p>
          <w:p>
            <w:pPr>
              <w:numPr>
                <w:ilvl w:val="0"/>
                <w:numId w:val="10"/>
              </w:numPr>
              <w:jc w:val="left"/>
              <w:widowControl/>
              <w:rPr>
                <w:b/>
                <w:bCs/>
                <w:color w:val="000000"/>
                <w:sz w:val="24"/>
                <w:szCs w:val="24"/>
                <w:lang w:bidi="ar"/>
              </w:rPr>
            </w:pPr>
            <w:r>
              <w:rPr>
                <w:b/>
                <w:bCs/>
                <w:color w:val="000000"/>
                <w:sz w:val="24"/>
                <w:szCs w:val="24"/>
                <w:lang w:bidi="ar"/>
              </w:rPr>
              <w:t xml:space="preserve">项目培训方案（</w:t>
            </w:r>
            <w:r>
              <w:rPr>
                <w:rFonts w:hint="eastAsia"/>
                <w:b/>
                <w:bCs/>
                <w:color w:val="000000"/>
                <w:sz w:val="24"/>
                <w:szCs w:val="24"/>
                <w:lang w:val="en-US" w:eastAsia="zh-CN" w:bidi="ar"/>
              </w:rPr>
              <w:t xml:space="preserve">5</w:t>
            </w:r>
            <w:r>
              <w:rPr>
                <w:b/>
                <w:bCs/>
                <w:color w:val="000000"/>
                <w:sz w:val="24"/>
                <w:szCs w:val="24"/>
                <w:lang w:bidi="ar"/>
              </w:rPr>
              <w:t xml:space="preserve">分）</w:t>
            </w:r>
            <w:r/>
          </w:p>
          <w:p>
            <w:pPr>
              <w:ind w:firstLine="480"/>
              <w:jc w:val="left"/>
              <w:widowControl/>
              <w:rPr>
                <w:sz w:val="24"/>
                <w:szCs w:val="24"/>
              </w:rPr>
            </w:pPr>
            <w:r>
              <w:rPr>
                <w:rFonts w:hint="eastAsia"/>
                <w:color w:val="000000"/>
                <w:sz w:val="24"/>
                <w:szCs w:val="24"/>
                <w:lang w:bidi="ar"/>
              </w:rPr>
              <w:t xml:space="preserve">投标人提供项目培训方案，包括但不限于培训计划、培训内容、培训方式及培训效果评估等内容，方案优于招标文件要求的得</w:t>
            </w:r>
            <w:r>
              <w:rPr>
                <w:rFonts w:hint="eastAsia"/>
                <w:color w:val="000000"/>
                <w:sz w:val="24"/>
                <w:szCs w:val="24"/>
                <w:lang w:val="en-US" w:eastAsia="zh-CN" w:bidi="ar"/>
              </w:rPr>
              <w:t xml:space="preserve">5</w:t>
            </w:r>
            <w:r>
              <w:rPr>
                <w:rFonts w:hint="eastAsia"/>
                <w:color w:val="000000"/>
                <w:sz w:val="24"/>
                <w:szCs w:val="24"/>
                <w:lang w:bidi="ar"/>
              </w:rPr>
              <w:t xml:space="preserve">分；符合招标文件要求的得</w:t>
            </w:r>
            <w:r>
              <w:rPr>
                <w:rFonts w:hint="eastAsia"/>
                <w:color w:val="000000"/>
                <w:sz w:val="24"/>
                <w:szCs w:val="24"/>
                <w:lang w:val="en-US" w:eastAsia="zh-CN" w:bidi="ar"/>
              </w:rPr>
              <w:t xml:space="preserve">3</w:t>
            </w:r>
            <w:r>
              <w:rPr>
                <w:rFonts w:hint="eastAsia"/>
                <w:color w:val="000000"/>
                <w:sz w:val="24"/>
                <w:szCs w:val="24"/>
                <w:lang w:bidi="ar"/>
              </w:rPr>
              <w:t xml:space="preserve">分；不符合招标要求或未提供的不得分。</w:t>
            </w:r>
            <w:r/>
          </w:p>
        </w:tc>
      </w:tr>
      <w:tr>
        <w:trPr>
          <w:jc w:val="center"/>
          <w:trHeight w:val="20"/>
        </w:trPr>
        <w:tc>
          <w:tcPr>
            <w:tcW w:w="1361" w:type="dxa"/>
            <w:vAlign w:val="center"/>
            <w:vMerge w:val="restart"/>
            <w:textDirection w:val="lrTb"/>
            <w:noWrap w:val="false"/>
          </w:tcPr>
          <w:p>
            <w:pPr>
              <w:widowControl/>
              <w:rPr>
                <w:b/>
                <w:bCs/>
                <w:color w:val="000000"/>
                <w:sz w:val="24"/>
                <w:szCs w:val="24"/>
              </w:rPr>
            </w:pPr>
            <w:r>
              <w:rPr>
                <w:rFonts w:hint="eastAsia"/>
                <w:b/>
                <w:bCs/>
                <w:color w:val="000000"/>
                <w:sz w:val="24"/>
                <w:szCs w:val="24"/>
              </w:rPr>
              <w:t xml:space="preserve">履约</w:t>
            </w:r>
            <w:r>
              <w:rPr>
                <w:b/>
                <w:bCs/>
                <w:color w:val="000000"/>
                <w:sz w:val="24"/>
                <w:szCs w:val="24"/>
              </w:rPr>
              <w:t xml:space="preserve">能力（</w:t>
            </w:r>
            <w:r>
              <w:rPr>
                <w:rFonts w:hint="eastAsia"/>
                <w:b/>
                <w:bCs/>
                <w:color w:val="000000"/>
                <w:sz w:val="24"/>
                <w:szCs w:val="24"/>
              </w:rPr>
              <w:t xml:space="preserve">3</w:t>
            </w:r>
            <w:r>
              <w:rPr>
                <w:rFonts w:hint="eastAsia"/>
                <w:b/>
                <w:bCs/>
                <w:color w:val="000000"/>
                <w:sz w:val="24"/>
                <w:szCs w:val="24"/>
                <w:lang w:val="en-US" w:eastAsia="zh-CN"/>
              </w:rPr>
              <w:t xml:space="preserve">5</w:t>
            </w:r>
            <w:r>
              <w:rPr>
                <w:b/>
                <w:bCs/>
                <w:color w:val="000000"/>
                <w:sz w:val="24"/>
                <w:szCs w:val="24"/>
              </w:rPr>
              <w:t xml:space="preserve">分）</w:t>
            </w:r>
            <w:r/>
          </w:p>
        </w:tc>
        <w:tc>
          <w:tcPr>
            <w:tcW w:w="7541" w:type="dxa"/>
            <w:vAlign w:val="center"/>
            <w:textDirection w:val="lrTb"/>
            <w:noWrap w:val="false"/>
          </w:tcPr>
          <w:p>
            <w:pPr>
              <w:jc w:val="left"/>
              <w:rPr>
                <w:b/>
                <w:bCs/>
                <w:color w:val="000000"/>
                <w:sz w:val="24"/>
                <w:szCs w:val="24"/>
              </w:rPr>
            </w:pPr>
            <w:r>
              <w:rPr>
                <w:b/>
                <w:bCs/>
                <w:color w:val="000000"/>
                <w:sz w:val="24"/>
                <w:szCs w:val="24"/>
              </w:rPr>
              <w:t xml:space="preserve">1、</w:t>
            </w:r>
            <w:r>
              <w:rPr>
                <w:rFonts w:hint="eastAsia"/>
                <w:b/>
                <w:bCs/>
                <w:color w:val="000000"/>
                <w:sz w:val="24"/>
                <w:szCs w:val="24"/>
              </w:rPr>
              <w:t xml:space="preserve">企业实力</w:t>
            </w:r>
            <w:r>
              <w:rPr>
                <w:b/>
                <w:bCs/>
                <w:color w:val="000000"/>
                <w:sz w:val="24"/>
                <w:szCs w:val="24"/>
              </w:rPr>
              <w:t xml:space="preserve">（</w:t>
            </w:r>
            <w:r>
              <w:rPr>
                <w:rFonts w:hint="eastAsia"/>
                <w:b/>
                <w:bCs/>
                <w:color w:val="000000"/>
                <w:sz w:val="24"/>
                <w:szCs w:val="24"/>
              </w:rPr>
              <w:t xml:space="preserve">3</w:t>
            </w:r>
            <w:r>
              <w:rPr>
                <w:b/>
                <w:bCs/>
                <w:color w:val="000000"/>
                <w:sz w:val="24"/>
                <w:szCs w:val="24"/>
              </w:rPr>
              <w:t xml:space="preserve">分）</w:t>
            </w:r>
            <w:r/>
          </w:p>
          <w:p>
            <w:pPr>
              <w:jc w:val="left"/>
              <w:widowControl/>
              <w:rPr>
                <w:rFonts w:hint="eastAsia" w:ascii="Times New Roman Regular" w:hAnsi="Times New Roman Regular" w:cs="Times New Roman Regular"/>
                <w:color w:val="000000"/>
                <w:sz w:val="24"/>
                <w:szCs w:val="24"/>
              </w:rPr>
            </w:pPr>
            <w:r>
              <w:rPr>
                <w:rFonts w:hint="eastAsia"/>
                <w:color w:val="000000"/>
                <w:sz w:val="24"/>
                <w:szCs w:val="24"/>
              </w:rPr>
              <w:t xml:space="preserve">（1）</w:t>
            </w:r>
            <w:r>
              <w:rPr>
                <w:rFonts w:ascii="Times New Roman Regular" w:hAnsi="Times New Roman Regular" w:cs="Times New Roman Regular"/>
                <w:color w:val="000000"/>
                <w:sz w:val="24"/>
                <w:szCs w:val="24"/>
              </w:rPr>
              <w:t xml:space="preserve">投标人具备信息安全管理体系认证证书</w:t>
            </w:r>
            <w:r>
              <w:rPr>
                <w:rFonts w:hint="eastAsia" w:ascii="Times New Roman Regular" w:hAnsi="Times New Roman Regular" w:cs="Times New Roman Regular"/>
                <w:color w:val="000000"/>
                <w:sz w:val="24"/>
                <w:szCs w:val="24"/>
              </w:rPr>
              <w:t xml:space="preserve">，得1分，</w:t>
            </w:r>
            <w:r>
              <w:rPr>
                <w:rFonts w:ascii="Times New Roman Regular" w:hAnsi="Times New Roman Regular" w:cs="Times New Roman Regular"/>
                <w:color w:val="000000"/>
                <w:sz w:val="24"/>
                <w:szCs w:val="24"/>
              </w:rPr>
              <w:t xml:space="preserve">未提供不得分。</w:t>
            </w:r>
            <w:r/>
          </w:p>
          <w:p>
            <w:pPr>
              <w:jc w:val="left"/>
              <w:widowControl/>
              <w:rPr>
                <w:color w:val="000000"/>
                <w:sz w:val="24"/>
                <w:szCs w:val="24"/>
              </w:rPr>
            </w:pPr>
            <w:r>
              <w:rPr>
                <w:rFonts w:hint="eastAsia"/>
                <w:color w:val="000000"/>
                <w:sz w:val="24"/>
                <w:szCs w:val="24"/>
              </w:rPr>
              <w:t xml:space="preserve">（2）</w:t>
            </w:r>
            <w:r>
              <w:rPr>
                <w:color w:val="000000"/>
                <w:sz w:val="24"/>
                <w:szCs w:val="24"/>
              </w:rPr>
              <w:t xml:space="preserve">投标人具备ITSS信息技术服务标准（运行维护）符合性证书，得2分，未提供不得分。</w:t>
            </w:r>
            <w:r/>
          </w:p>
          <w:p>
            <w:pPr>
              <w:jc w:val="left"/>
              <w:widowControl/>
              <w:rPr>
                <w:rFonts w:hint="eastAsia"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rPr>
              <w:t xml:space="preserve">（投标人须提供有效的证书</w:t>
            </w:r>
            <w:r>
              <w:rPr>
                <w:rFonts w:hint="eastAsia" w:ascii="Times New Roman Regular" w:hAnsi="Times New Roman Regular" w:cs="Times New Roman Regular"/>
                <w:b/>
                <w:bCs/>
                <w:color w:val="000000"/>
                <w:sz w:val="24"/>
                <w:szCs w:val="24"/>
                <w:lang w:eastAsia="zh-CN"/>
              </w:rPr>
              <w:t xml:space="preserve">，</w:t>
            </w:r>
            <w:r>
              <w:rPr>
                <w:rFonts w:ascii="Times New Roman Regular" w:hAnsi="Times New Roman Regular" w:cs="Times New Roman Regular"/>
                <w:b/>
                <w:bCs/>
                <w:color w:val="000000"/>
                <w:sz w:val="24"/>
                <w:szCs w:val="24"/>
              </w:rPr>
              <w:t xml:space="preserve">原件扫描上传）</w:t>
            </w:r>
            <w:r/>
          </w:p>
          <w:p>
            <w:pPr>
              <w:jc w:val="left"/>
              <w:widowControl/>
              <w:rPr>
                <w:rFonts w:hint="eastAsia" w:ascii="Times New Roman Regular" w:hAnsi="Times New Roman Regular" w:cs="Times New Roman Regular"/>
                <w:b/>
                <w:bCs/>
                <w:color w:val="000000"/>
                <w:sz w:val="24"/>
                <w:szCs w:val="24"/>
              </w:rPr>
            </w:pPr>
            <w:r>
              <w:rPr>
                <w:rFonts w:hint="eastAsia" w:ascii="Times New Roman Regular" w:hAnsi="Times New Roman Regular" w:cs="Times New Roman Regular"/>
                <w:b/>
                <w:bCs/>
                <w:color w:val="000000"/>
                <w:sz w:val="24"/>
                <w:szCs w:val="24"/>
              </w:rPr>
            </w:r>
            <w:r/>
          </w:p>
          <w:p>
            <w:pPr>
              <w:jc w:val="left"/>
              <w:rPr>
                <w:b/>
                <w:bCs/>
                <w:color w:val="000000"/>
                <w:sz w:val="24"/>
                <w:szCs w:val="24"/>
              </w:rPr>
            </w:pPr>
            <w:r>
              <w:rPr>
                <w:rFonts w:hint="eastAsia"/>
                <w:b/>
                <w:bCs/>
                <w:color w:val="000000"/>
                <w:sz w:val="24"/>
                <w:szCs w:val="24"/>
              </w:rPr>
              <w:t xml:space="preserve">2</w:t>
            </w:r>
            <w:r>
              <w:rPr>
                <w:b/>
                <w:bCs/>
                <w:color w:val="000000"/>
                <w:sz w:val="24"/>
                <w:szCs w:val="24"/>
              </w:rPr>
              <w:t xml:space="preserve">、</w:t>
            </w:r>
            <w:r>
              <w:rPr>
                <w:rFonts w:hint="eastAsia"/>
                <w:b/>
                <w:bCs/>
                <w:color w:val="000000"/>
                <w:sz w:val="24"/>
                <w:szCs w:val="24"/>
              </w:rPr>
              <w:t xml:space="preserve">企业业绩</w:t>
            </w:r>
            <w:r>
              <w:rPr>
                <w:b/>
                <w:bCs/>
                <w:color w:val="000000"/>
                <w:sz w:val="24"/>
                <w:szCs w:val="24"/>
              </w:rPr>
              <w:t xml:space="preserve">（</w:t>
            </w:r>
            <w:r>
              <w:rPr>
                <w:rFonts w:hint="eastAsia"/>
                <w:b/>
                <w:bCs/>
                <w:color w:val="000000"/>
                <w:sz w:val="24"/>
                <w:szCs w:val="24"/>
              </w:rPr>
              <w:t xml:space="preserve">10</w:t>
            </w:r>
            <w:r>
              <w:rPr>
                <w:b/>
                <w:bCs/>
                <w:color w:val="000000"/>
                <w:sz w:val="24"/>
                <w:szCs w:val="24"/>
              </w:rPr>
              <w:t xml:space="preserve">分）</w:t>
            </w:r>
            <w:r/>
          </w:p>
          <w:p>
            <w:pPr>
              <w:ind w:firstLine="480"/>
              <w:jc w:val="left"/>
              <w:widowControl/>
              <w:rPr>
                <w:color w:val="000000"/>
                <w:sz w:val="24"/>
                <w:szCs w:val="24"/>
              </w:rPr>
            </w:pPr>
            <w:r>
              <w:rPr>
                <w:color w:val="000000"/>
                <w:sz w:val="24"/>
                <w:szCs w:val="24"/>
              </w:rPr>
              <w:t xml:space="preserve">投标人自2023年1月1日（以合同签订时间为准）以来具有信息化建设或运维项目案例业绩，每提供一个得2分，最高得10分，未提供不得分。</w:t>
            </w:r>
            <w:r/>
          </w:p>
          <w:p>
            <w:pPr>
              <w:jc w:val="left"/>
              <w:widowControl/>
              <w:rPr>
                <w:b/>
                <w:bCs/>
                <w:color w:val="000000"/>
                <w:sz w:val="24"/>
                <w:szCs w:val="24"/>
              </w:rPr>
            </w:pPr>
            <w:r>
              <w:rPr>
                <w:b/>
                <w:bCs/>
                <w:color w:val="000000"/>
                <w:sz w:val="24"/>
                <w:szCs w:val="24"/>
              </w:rPr>
              <w:t xml:space="preserve">（</w:t>
            </w:r>
            <w:r>
              <w:rPr>
                <w:rFonts w:hint="eastAsia"/>
                <w:b/>
                <w:bCs/>
                <w:color w:val="000000"/>
                <w:sz w:val="24"/>
                <w:szCs w:val="24"/>
              </w:rPr>
              <w:t xml:space="preserve">投标人</w:t>
            </w:r>
            <w:r>
              <w:rPr>
                <w:b/>
                <w:bCs/>
                <w:color w:val="000000"/>
                <w:sz w:val="24"/>
                <w:szCs w:val="24"/>
              </w:rPr>
              <w:t xml:space="preserve">提供可清晰辨认合同内容及签订时间的项目合同</w:t>
            </w:r>
            <w:r>
              <w:rPr>
                <w:rFonts w:hint="eastAsia"/>
                <w:b/>
                <w:bCs/>
                <w:color w:val="000000"/>
                <w:sz w:val="24"/>
                <w:szCs w:val="24"/>
                <w:lang w:eastAsia="zh-CN"/>
              </w:rPr>
              <w:t xml:space="preserve">，</w:t>
            </w:r>
            <w:r>
              <w:rPr>
                <w:rFonts w:hint="eastAsia"/>
                <w:b/>
                <w:bCs/>
                <w:color w:val="000000"/>
                <w:sz w:val="24"/>
                <w:szCs w:val="24"/>
              </w:rPr>
              <w:t xml:space="preserve">原件扫描上传</w:t>
            </w:r>
            <w:r>
              <w:rPr>
                <w:b/>
                <w:bCs/>
                <w:color w:val="000000"/>
                <w:sz w:val="24"/>
                <w:szCs w:val="24"/>
              </w:rPr>
              <w:t xml:space="preserve">）</w:t>
            </w:r>
            <w:r/>
          </w:p>
        </w:tc>
      </w:tr>
      <w:tr>
        <w:trPr>
          <w:jc w:val="center"/>
          <w:trHeight w:val="20"/>
        </w:trPr>
        <w:tc>
          <w:tcPr>
            <w:tcW w:w="1361" w:type="dxa"/>
            <w:vAlign w:val="center"/>
            <w:vMerge w:val="continue"/>
            <w:textDirection w:val="lrTb"/>
            <w:noWrap w:val="false"/>
          </w:tcPr>
          <w:p>
            <w:pPr>
              <w:jc w:val="center"/>
              <w:widowControl/>
              <w:rPr>
                <w:b/>
                <w:bCs/>
                <w:color w:val="000000"/>
                <w:sz w:val="24"/>
                <w:szCs w:val="24"/>
              </w:rPr>
            </w:pPr>
            <w:r>
              <w:rPr>
                <w:b/>
                <w:bCs/>
                <w:color w:val="000000"/>
                <w:sz w:val="24"/>
                <w:szCs w:val="24"/>
              </w:rPr>
            </w:r>
            <w:r/>
          </w:p>
        </w:tc>
        <w:tc>
          <w:tcPr>
            <w:tcW w:w="7541" w:type="dxa"/>
            <w:vAlign w:val="center"/>
            <w:textDirection w:val="lrTb"/>
            <w:noWrap w:val="false"/>
          </w:tcPr>
          <w:p>
            <w:pPr>
              <w:jc w:val="left"/>
              <w:rPr>
                <w:b/>
                <w:bCs/>
                <w:color w:val="000000"/>
                <w:sz w:val="24"/>
                <w:szCs w:val="24"/>
              </w:rPr>
            </w:pPr>
            <w:r>
              <w:rPr>
                <w:rFonts w:hint="eastAsia"/>
                <w:b/>
                <w:bCs/>
                <w:color w:val="000000"/>
                <w:sz w:val="24"/>
                <w:szCs w:val="24"/>
              </w:rPr>
              <w:t xml:space="preserve">3</w:t>
            </w:r>
            <w:r>
              <w:rPr>
                <w:b/>
                <w:bCs/>
                <w:color w:val="000000"/>
                <w:sz w:val="24"/>
                <w:szCs w:val="24"/>
              </w:rPr>
              <w:t xml:space="preserve">、</w:t>
            </w:r>
            <w:r>
              <w:rPr>
                <w:rFonts w:hint="eastAsia"/>
                <w:b/>
                <w:bCs/>
                <w:color w:val="000000"/>
                <w:sz w:val="24"/>
                <w:szCs w:val="24"/>
              </w:rPr>
              <w:t xml:space="preserve">人员配备</w:t>
            </w:r>
            <w:r>
              <w:rPr>
                <w:b/>
                <w:bCs/>
                <w:color w:val="000000"/>
                <w:sz w:val="24"/>
                <w:szCs w:val="24"/>
              </w:rPr>
              <w:t xml:space="preserve">（</w:t>
            </w:r>
            <w:r>
              <w:rPr>
                <w:rFonts w:hint="eastAsia"/>
                <w:b/>
                <w:bCs/>
                <w:color w:val="000000"/>
                <w:sz w:val="24"/>
                <w:szCs w:val="24"/>
                <w:lang w:val="en-US" w:eastAsia="zh-CN"/>
              </w:rPr>
              <w:t xml:space="preserve">22</w:t>
            </w:r>
            <w:r>
              <w:rPr>
                <w:b/>
                <w:bCs/>
                <w:color w:val="000000"/>
                <w:sz w:val="24"/>
                <w:szCs w:val="24"/>
              </w:rPr>
              <w:t xml:space="preserve">分）</w:t>
            </w:r>
            <w:r/>
          </w:p>
          <w:p>
            <w:pPr>
              <w:jc w:val="left"/>
              <w:rPr>
                <w:b/>
                <w:bCs/>
                <w:color w:val="000000"/>
                <w:sz w:val="24"/>
                <w:szCs w:val="24"/>
              </w:rPr>
            </w:pPr>
            <w:r>
              <w:rPr>
                <w:rFonts w:hint="eastAsia"/>
                <w:b/>
                <w:bCs/>
                <w:color w:val="000000"/>
                <w:sz w:val="24"/>
                <w:szCs w:val="24"/>
              </w:rPr>
              <w:t xml:space="preserve">3.1项目负责人（4分）</w:t>
            </w:r>
            <w:r/>
          </w:p>
          <w:p>
            <w:pPr>
              <w:ind w:firstLine="480"/>
              <w:jc w:val="left"/>
              <w:rPr>
                <w:color w:val="000000"/>
                <w:sz w:val="24"/>
                <w:szCs w:val="24"/>
              </w:rPr>
            </w:pPr>
            <w:r>
              <w:rPr>
                <w:rFonts w:hint="eastAsia"/>
                <w:color w:val="000000"/>
                <w:sz w:val="24"/>
                <w:szCs w:val="24"/>
              </w:rPr>
              <w:t xml:space="preserve">投标人拟投入本项目的总负责人具备信息系统项目管理师（高级）（人社部与工信部联合颁发）、系统分析师（高级）（人社部与工信部联合颁发），每提供一个得2分，最高得4分，未提供不得分。</w:t>
            </w:r>
            <w:r/>
          </w:p>
          <w:p>
            <w:pPr>
              <w:jc w:val="left"/>
              <w:rPr>
                <w:color w:val="000000"/>
                <w:sz w:val="24"/>
                <w:szCs w:val="24"/>
              </w:rPr>
            </w:pPr>
            <w:r>
              <w:rPr>
                <w:color w:val="000000"/>
                <w:sz w:val="24"/>
                <w:szCs w:val="24"/>
              </w:rPr>
            </w:r>
            <w:r/>
          </w:p>
          <w:p>
            <w:pPr>
              <w:jc w:val="left"/>
              <w:rPr>
                <w:b/>
                <w:bCs/>
                <w:color w:val="000000"/>
                <w:sz w:val="24"/>
                <w:szCs w:val="24"/>
              </w:rPr>
            </w:pPr>
            <w:r>
              <w:rPr>
                <w:rFonts w:hint="eastAsia"/>
                <w:b/>
                <w:bCs/>
                <w:color w:val="000000"/>
                <w:sz w:val="24"/>
                <w:szCs w:val="24"/>
              </w:rPr>
              <w:t xml:space="preserve">3.2技术负责人（4分）</w:t>
            </w:r>
            <w:r/>
          </w:p>
          <w:p>
            <w:pPr>
              <w:ind w:firstLine="480"/>
              <w:jc w:val="left"/>
              <w:rPr>
                <w:color w:val="000000"/>
                <w:sz w:val="24"/>
                <w:szCs w:val="24"/>
              </w:rPr>
            </w:pPr>
            <w:r>
              <w:rPr>
                <w:rFonts w:hint="eastAsia"/>
                <w:color w:val="000000"/>
                <w:sz w:val="24"/>
                <w:szCs w:val="24"/>
              </w:rPr>
              <w:t xml:space="preserve">投标人拟投入本项目的技术负责人具备系统规划与管理师证书（高级）（人社部与工信部联合颁发）、数据库系统工程师（中级）（人社部与工信部联合颁发），每提供一个得2分，最高得4分，未提供不得分。</w:t>
            </w:r>
            <w:r/>
          </w:p>
          <w:p>
            <w:pPr>
              <w:ind w:firstLine="480"/>
              <w:jc w:val="left"/>
              <w:rPr>
                <w:color w:val="000000"/>
                <w:sz w:val="24"/>
                <w:szCs w:val="24"/>
              </w:rPr>
            </w:pPr>
            <w:r>
              <w:rPr>
                <w:color w:val="000000"/>
                <w:sz w:val="24"/>
                <w:szCs w:val="24"/>
              </w:rPr>
            </w:r>
            <w:r/>
          </w:p>
          <w:p>
            <w:pPr>
              <w:jc w:val="left"/>
              <w:rPr>
                <w:b/>
                <w:bCs/>
                <w:color w:val="000000"/>
                <w:sz w:val="24"/>
                <w:szCs w:val="24"/>
              </w:rPr>
            </w:pPr>
            <w:r>
              <w:rPr>
                <w:rFonts w:hint="eastAsia"/>
                <w:b/>
                <w:bCs/>
                <w:color w:val="000000"/>
                <w:sz w:val="24"/>
                <w:szCs w:val="24"/>
              </w:rPr>
              <w:t xml:space="preserve">3.3安全负责人（4分）</w:t>
            </w:r>
            <w:r/>
          </w:p>
          <w:p>
            <w:pPr>
              <w:ind w:firstLine="480"/>
              <w:jc w:val="left"/>
              <w:rPr>
                <w:color w:val="000000"/>
                <w:sz w:val="24"/>
                <w:szCs w:val="24"/>
              </w:rPr>
            </w:pPr>
            <w:r>
              <w:rPr>
                <w:rFonts w:hint="eastAsia"/>
                <w:color w:val="000000"/>
                <w:sz w:val="24"/>
                <w:szCs w:val="24"/>
              </w:rPr>
              <w:t xml:space="preserve">投标人拟投入本项目的安全负责人具备信息系统项目管理师（高级）（人社部与工信部联合颁发）、信息安全保障人员（安全运维）证书（中国网络安全审查认证和市场监管大数据中心颁发，原中国网络安全审查技术与认证中心），每提供一个得2分，最高得4分，未提供不得分。</w:t>
            </w:r>
            <w:r/>
          </w:p>
          <w:p>
            <w:pPr>
              <w:jc w:val="left"/>
              <w:rPr>
                <w:color w:val="000000"/>
                <w:sz w:val="24"/>
                <w:szCs w:val="24"/>
              </w:rPr>
            </w:pPr>
            <w:r>
              <w:rPr>
                <w:color w:val="000000"/>
                <w:sz w:val="24"/>
                <w:szCs w:val="24"/>
              </w:rPr>
            </w:r>
            <w:r/>
          </w:p>
          <w:p>
            <w:pPr>
              <w:jc w:val="left"/>
              <w:rPr>
                <w:b/>
                <w:bCs/>
                <w:color w:val="000000"/>
                <w:sz w:val="24"/>
                <w:szCs w:val="24"/>
              </w:rPr>
            </w:pPr>
            <w:r>
              <w:rPr>
                <w:rFonts w:hint="eastAsia"/>
                <w:b/>
                <w:bCs/>
                <w:color w:val="000000"/>
                <w:sz w:val="24"/>
                <w:szCs w:val="24"/>
              </w:rPr>
              <w:t xml:space="preserve">3.4项目团队（</w:t>
            </w:r>
            <w:r>
              <w:rPr>
                <w:rFonts w:hint="eastAsia"/>
                <w:b/>
                <w:bCs/>
                <w:color w:val="000000"/>
                <w:sz w:val="24"/>
                <w:szCs w:val="24"/>
                <w:lang w:val="en-US" w:eastAsia="zh-CN"/>
              </w:rPr>
              <w:t xml:space="preserve">10</w:t>
            </w:r>
            <w:r>
              <w:rPr>
                <w:rFonts w:hint="eastAsia"/>
                <w:b/>
                <w:bCs/>
                <w:color w:val="000000"/>
                <w:sz w:val="24"/>
                <w:szCs w:val="24"/>
              </w:rPr>
              <w:t xml:space="preserve">分）</w:t>
            </w:r>
            <w:r/>
          </w:p>
          <w:p>
            <w:pPr>
              <w:ind w:firstLine="480"/>
              <w:jc w:val="left"/>
              <w:rPr>
                <w:color w:val="000000"/>
                <w:sz w:val="24"/>
                <w:szCs w:val="24"/>
              </w:rPr>
            </w:pPr>
            <w:r>
              <w:rPr>
                <w:color w:val="000000"/>
                <w:sz w:val="24"/>
                <w:szCs w:val="24"/>
              </w:rPr>
              <w:t xml:space="preserve">投标人拟投入本项目的项目团队其他成员（不含项目负责人、技术负责人与安全负责人）具备IT服务项目经理证书、软件设计师（中级）（人社部与工信部联合颁发）、系统架构设计师（高级）（人社部与工信部联合颁发）、系统集成项目管理工程师（中级）（人社部与工信部联合颁发）、</w:t>
            </w:r>
            <w:r>
              <w:rPr>
                <w:color w:val="000000"/>
                <w:sz w:val="24"/>
                <w:szCs w:val="24"/>
                <w:highlight w:val="none"/>
              </w:rPr>
              <w:t xml:space="preserve">注册信息安全</w:t>
            </w:r>
            <w:r>
              <w:rPr>
                <w:rFonts w:hint="eastAsia"/>
                <w:color w:val="000000"/>
                <w:sz w:val="24"/>
                <w:szCs w:val="24"/>
                <w:highlight w:val="none"/>
                <w:lang w:val="en-US" w:eastAsia="zh-CN"/>
              </w:rPr>
              <w:t xml:space="preserve">专业人员</w:t>
            </w:r>
            <w:r>
              <w:rPr>
                <w:color w:val="000000"/>
                <w:sz w:val="24"/>
                <w:szCs w:val="24"/>
                <w:highlight w:val="none"/>
              </w:rPr>
              <w:t xml:space="preserve">（CISP）</w:t>
            </w:r>
            <w:r>
              <w:rPr>
                <w:color w:val="000000"/>
                <w:sz w:val="24"/>
                <w:szCs w:val="24"/>
              </w:rPr>
              <w:t xml:space="preserve">，每有一类证书得</w:t>
            </w:r>
            <w:r>
              <w:rPr>
                <w:rFonts w:hint="eastAsia"/>
                <w:color w:val="000000"/>
                <w:sz w:val="24"/>
                <w:szCs w:val="24"/>
                <w:lang w:val="en-US" w:eastAsia="zh-CN"/>
              </w:rPr>
              <w:t xml:space="preserve">2</w:t>
            </w:r>
            <w:r>
              <w:rPr>
                <w:color w:val="000000"/>
                <w:sz w:val="24"/>
                <w:szCs w:val="24"/>
              </w:rPr>
              <w:t xml:space="preserve">分，最高得</w:t>
            </w:r>
            <w:r>
              <w:rPr>
                <w:rFonts w:hint="eastAsia"/>
                <w:color w:val="000000"/>
                <w:sz w:val="24"/>
                <w:szCs w:val="24"/>
                <w:lang w:val="en-US" w:eastAsia="zh-CN"/>
              </w:rPr>
              <w:t xml:space="preserve">10</w:t>
            </w:r>
            <w:r>
              <w:rPr>
                <w:color w:val="000000"/>
                <w:sz w:val="24"/>
                <w:szCs w:val="24"/>
              </w:rPr>
              <w:t xml:space="preserve">分（一人多证不可兼得），未提供不得分。</w:t>
            </w:r>
            <w:r/>
          </w:p>
          <w:p>
            <w:pPr>
              <w:jc w:val="left"/>
              <w:widowControl/>
              <w:rPr>
                <w:color w:val="000000"/>
                <w:sz w:val="24"/>
                <w:szCs w:val="24"/>
              </w:rPr>
            </w:pPr>
            <w:r>
              <w:rPr>
                <w:rFonts w:ascii="Times New Roman Regular" w:hAnsi="Times New Roman Regular" w:cs="Times New Roman Regular"/>
                <w:b/>
                <w:bCs/>
                <w:color w:val="000000"/>
                <w:sz w:val="24"/>
                <w:szCs w:val="24"/>
                <w:lang w:bidi="ar"/>
              </w:rPr>
              <w:t xml:space="preserve">（投标人须提供有效的证书原件扫描件及近</w:t>
            </w:r>
            <w:r>
              <w:rPr>
                <w:rFonts w:hint="eastAsia" w:ascii="Times New Roman Regular" w:hAnsi="Times New Roman Regular" w:cs="Times New Roman Regular"/>
                <w:b/>
                <w:bCs/>
                <w:color w:val="000000"/>
                <w:sz w:val="24"/>
                <w:szCs w:val="24"/>
                <w:lang w:bidi="ar"/>
              </w:rPr>
              <w:t xml:space="preserve">一年</w:t>
            </w:r>
            <w:r>
              <w:rPr>
                <w:rFonts w:ascii="Times New Roman Regular" w:hAnsi="Times New Roman Regular" w:cs="Times New Roman Regular"/>
                <w:b/>
                <w:bCs/>
                <w:color w:val="000000"/>
                <w:sz w:val="24"/>
                <w:szCs w:val="24"/>
                <w:lang w:bidi="ar"/>
              </w:rPr>
              <w:t xml:space="preserve">内任意一个月为其缴纳的社保证明材料</w:t>
            </w:r>
            <w:r>
              <w:rPr>
                <w:rFonts w:hint="eastAsia" w:ascii="Times New Roman Regular" w:hAnsi="Times New Roman Regular" w:cs="Times New Roman Regular"/>
                <w:b/>
                <w:bCs/>
                <w:color w:val="000000"/>
                <w:sz w:val="24"/>
                <w:szCs w:val="24"/>
                <w:lang w:eastAsia="zh-CN" w:bidi="ar"/>
              </w:rPr>
              <w:t xml:space="preserve">，</w:t>
            </w:r>
            <w:r>
              <w:rPr>
                <w:rFonts w:ascii="Times New Roman Regular" w:hAnsi="Times New Roman Regular" w:cs="Times New Roman Regular"/>
                <w:b/>
                <w:bCs/>
                <w:color w:val="000000"/>
                <w:sz w:val="24"/>
                <w:szCs w:val="24"/>
                <w:lang w:bidi="ar"/>
              </w:rPr>
              <w:t xml:space="preserve">原件扫描上传）</w:t>
            </w:r>
            <w:r/>
          </w:p>
        </w:tc>
      </w:tr>
    </w:tbl>
    <w:p>
      <w:pP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rPr>
          <w:rFonts w:hint="eastAsia" w:ascii="黑体" w:hAnsi="黑体" w:eastAsia="黑体" w:cs="黑体"/>
          <w:color w:val="000000"/>
          <w:sz w:val="44"/>
          <w:szCs w:val="44"/>
        </w:rPr>
      </w:pPr>
      <w:r>
        <w:rPr>
          <w:rFonts w:ascii="黑体" w:hAnsi="黑体" w:eastAsia="黑体" w:cs="黑体"/>
          <w:color w:val="000000"/>
          <w:sz w:val="44"/>
          <w:szCs w:val="44"/>
        </w:rPr>
        <w:br w:type="page" w:clear="all"/>
      </w:r>
      <w:r/>
    </w:p>
    <w:p>
      <w:pPr>
        <w:pStyle w:val="724"/>
        <w:rPr>
          <w:rFonts w:hint="eastAsia" w:ascii="黑体" w:hAnsi="黑体" w:cs="黑体"/>
          <w:color w:val="000000"/>
          <w:szCs w:val="44"/>
        </w:rPr>
      </w:pPr>
      <w:r>
        <w:rPr>
          <w:rStyle w:val="725"/>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hint="eastAsia"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hint="eastAsia"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w:t>
      </w:r>
      <w:r>
        <w:rPr>
          <w:rFonts w:hint="eastAsia" w:ascii="宋体" w:hAnsi="宋体" w:cs="宋体"/>
          <w:b/>
          <w:color w:val="000000"/>
          <w:sz w:val="24"/>
        </w:rPr>
        <w:t xml:space="preserve">                       </w:t>
      </w:r>
      <w:r>
        <w:rPr>
          <w:rFonts w:ascii="宋体" w:hAnsi="宋体" w:cs="宋体"/>
          <w:b/>
          <w:color w:val="000000"/>
          <w:sz w:val="24"/>
        </w:rPr>
        <w:t xml:space="preserve">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bl>
      <w:tblPr>
        <w:tblStyle w:val="72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2.“投标分项报价表”中“投标总报价”数额应当与“开标一览表”中“投标总报价”数额一致。</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项目经办人可以根据项目实际需要对表格结构进行调整。</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72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72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备注：我公司（单位）委托进行现场演示的人员为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（本项目如果无现场演示要求，请项目经办人自行删除备注）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        </w:t>
      </w:r>
      <w:r>
        <w:rPr>
          <w:rFonts w:ascii="宋体" w:hAnsi="宋体" w:cs="宋体"/>
          <w:color w:val="000000"/>
          <w:sz w:val="24"/>
          <w:highlight w:val="none"/>
        </w:rPr>
        <w:t xml:space="preserve">（人员姓名），身份证号</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rFonts w:eastAsia="Times New Roman"/>
          <w:color w:val="000000"/>
          <w:sz w:val="24"/>
          <w:highlight w:val="none"/>
        </w:rPr>
        <w:t xml:space="preserve">……</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22"/>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62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p>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Times New Roman Regular">
    <w:panose1 w:val="02020603050405020304"/>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Times New Roman Bold">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p>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116"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8611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7pt;height:12.1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1.%2."/>
      <w:lvlJc w:val="left"/>
      <w:pPr>
        <w:ind w:left="567" w:hanging="567"/>
      </w:pPr>
      <w:rPr>
        <w:rFonts w:hint="default" w:ascii="Times New Roman" w:hAnsi="Times New Roman" w:cs="Times New Roman"/>
      </w:rPr>
    </w:lvl>
    <w:lvl w:ilvl="2">
      <w:start w:val="1"/>
      <w:numFmt w:val="decimal"/>
      <w:pStyle w:val="726"/>
      <w:isLgl w:val="false"/>
      <w:suff w:val="tab"/>
      <w:lvlText w:val="%1.%2.%3."/>
      <w:lvlJc w:val="left"/>
      <w:pPr>
        <w:ind w:left="1339" w:hanging="709"/>
      </w:pPr>
      <w:rPr>
        <w:rFonts w:hint="default" w:ascii="Times New Roman Bold" w:hAnsi="Times New Roman Bold" w:eastAsia="仿宋_GB2312" w:cs="Times New Roman Bold"/>
        <w:b/>
        <w:bCs/>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6"/>
  </w:num>
  <w:num w:numId="4">
    <w:abstractNumId w:val="5"/>
  </w:num>
  <w:num w:numId="5">
    <w:abstractNumId w:val="8"/>
  </w:num>
  <w:num w:numId="6">
    <w:abstractNumId w:val="9"/>
  </w:num>
  <w:num w:numId="7">
    <w:abstractNumId w:val="2"/>
  </w:num>
  <w:num w:numId="8">
    <w:abstractNumId w:val="3"/>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17"/>
    <w:uiPriority w:val="9"/>
    <w:rPr>
      <w:rFonts w:ascii="Arial" w:hAnsi="Arial" w:eastAsia="Arial" w:cs="Arial"/>
      <w:sz w:val="40"/>
      <w:szCs w:val="40"/>
    </w:rPr>
  </w:style>
  <w:style w:type="paragraph" w:styleId="14">
    <w:name w:val="Heading 2"/>
    <w:basedOn w:val="716"/>
    <w:next w:val="7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18"/>
    <w:link w:val="14"/>
    <w:uiPriority w:val="9"/>
    <w:rPr>
      <w:rFonts w:ascii="Arial" w:hAnsi="Arial" w:eastAsia="Arial" w:cs="Arial"/>
      <w:sz w:val="34"/>
    </w:rPr>
  </w:style>
  <w:style w:type="paragraph" w:styleId="16">
    <w:name w:val="Heading 3"/>
    <w:basedOn w:val="716"/>
    <w:next w:val="7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8"/>
    <w:link w:val="16"/>
    <w:uiPriority w:val="9"/>
    <w:rPr>
      <w:rFonts w:ascii="Arial" w:hAnsi="Arial" w:eastAsia="Arial" w:cs="Arial"/>
      <w:sz w:val="30"/>
      <w:szCs w:val="30"/>
    </w:rPr>
  </w:style>
  <w:style w:type="paragraph" w:styleId="18">
    <w:name w:val="Heading 4"/>
    <w:basedOn w:val="716"/>
    <w:next w:val="7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8"/>
    <w:link w:val="18"/>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8"/>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8"/>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8"/>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8"/>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8"/>
    <w:link w:val="28"/>
    <w:uiPriority w:val="9"/>
    <w:rPr>
      <w:rFonts w:ascii="Arial" w:hAnsi="Arial" w:eastAsia="Arial" w:cs="Arial"/>
      <w:i/>
      <w:iCs/>
      <w:sz w:val="21"/>
      <w:szCs w:val="21"/>
    </w:rPr>
  </w:style>
  <w:style w:type="paragraph" w:styleId="30">
    <w:name w:val="List Paragraph"/>
    <w:basedOn w:val="71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18"/>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18"/>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6"/>
    <w:link w:val="42"/>
    <w:uiPriority w:val="99"/>
    <w:unhideWhenUsed/>
    <w:pPr>
      <w:spacing w:after="0" w:line="240" w:lineRule="auto"/>
      <w:tabs>
        <w:tab w:val="center" w:pos="7143" w:leader="none"/>
        <w:tab w:val="right" w:pos="14287" w:leader="none"/>
      </w:tabs>
    </w:pPr>
  </w:style>
  <w:style w:type="character" w:styleId="42">
    <w:name w:val="Header Char"/>
    <w:basedOn w:val="718"/>
    <w:link w:val="41"/>
    <w:uiPriority w:val="99"/>
  </w:style>
  <w:style w:type="character" w:styleId="44">
    <w:name w:val="Footer Char"/>
    <w:basedOn w:val="718"/>
    <w:link w:val="721"/>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8"/>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8"/>
    <w:uiPriority w:val="99"/>
    <w:semiHidden/>
    <w:unhideWhenUsed/>
    <w:rPr>
      <w:vertAlign w:val="superscript"/>
    </w:rPr>
  </w:style>
  <w:style w:type="paragraph" w:styleId="180">
    <w:name w:val="toc 1"/>
    <w:basedOn w:val="716"/>
    <w:next w:val="716"/>
    <w:uiPriority w:val="39"/>
    <w:unhideWhenUsed/>
    <w:pPr>
      <w:ind w:left="0" w:right="0" w:firstLine="0"/>
      <w:spacing w:after="57"/>
    </w:p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17">
    <w:name w:val="Heading 1"/>
    <w:basedOn w:val="716"/>
    <w:next w:val="716"/>
    <w:uiPriority w:val="9"/>
    <w:qFormat/>
    <w:pPr>
      <w:keepLines/>
      <w:keepNext/>
      <w:spacing w:before="480" w:after="200"/>
      <w:outlineLvl w:val="0"/>
    </w:pPr>
    <w:rPr>
      <w:rFonts w:ascii="Arial" w:hAnsi="Arial" w:eastAsia="Arial" w:cs="Arial"/>
      <w:sz w:val="40"/>
      <w:szCs w:val="40"/>
    </w:rPr>
  </w:style>
  <w:style w:type="character" w:styleId="718" w:default="1">
    <w:name w:val="Default Paragraph Font"/>
    <w:uiPriority w:val="0"/>
    <w:semiHidden/>
    <w:qFormat/>
  </w:style>
  <w:style w:type="table" w:styleId="719" w:default="1">
    <w:name w:val="Normal Table"/>
    <w:uiPriority w:val="0"/>
    <w:semiHidden/>
    <w:qFormat/>
    <w:tblPr>
      <w:tblCellMar>
        <w:left w:w="108" w:type="dxa"/>
        <w:top w:w="0" w:type="dxa"/>
        <w:right w:w="108" w:type="dxa"/>
        <w:bottom w:w="0" w:type="dxa"/>
      </w:tblCellMar>
    </w:tblPr>
  </w:style>
  <w:style w:type="paragraph" w:styleId="720">
    <w:name w:val="annotation text"/>
    <w:basedOn w:val="716"/>
    <w:uiPriority w:val="99"/>
    <w:semiHidden/>
    <w:unhideWhenUsed/>
    <w:qFormat/>
    <w:pPr>
      <w:jc w:val="left"/>
    </w:pPr>
  </w:style>
  <w:style w:type="paragraph" w:styleId="721">
    <w:name w:val="Footer"/>
    <w:basedOn w:val="716"/>
    <w:uiPriority w:val="99"/>
    <w:unhideWhenUsed/>
    <w:qFormat/>
    <w:pPr>
      <w:tabs>
        <w:tab w:val="center" w:pos="7143" w:leader="none"/>
        <w:tab w:val="right" w:pos="14287" w:leader="none"/>
      </w:tabs>
    </w:p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annotation reference"/>
    <w:basedOn w:val="718"/>
    <w:uiPriority w:val="99"/>
    <w:semiHidden/>
    <w:unhideWhenUsed/>
    <w:qFormat/>
    <w:rPr>
      <w:sz w:val="21"/>
      <w:szCs w:val="21"/>
    </w:rPr>
  </w:style>
  <w:style w:type="paragraph" w:styleId="724" w:customStyle="1">
    <w:name w:val="标题 11"/>
    <w:basedOn w:val="716"/>
    <w:next w:val="716"/>
    <w:link w:val="725"/>
    <w:uiPriority w:val="0"/>
    <w:qFormat/>
    <w:pPr>
      <w:jc w:val="center"/>
      <w:keepNext/>
      <w:outlineLvl w:val="0"/>
    </w:pPr>
    <w:rPr>
      <w:rFonts w:ascii="楷体_GB2312" w:hAnsi="楷体_GB2312" w:eastAsia="黑体"/>
      <w:sz w:val="44"/>
      <w:szCs w:val="28"/>
    </w:rPr>
  </w:style>
  <w:style w:type="character" w:styleId="725" w:customStyle="1">
    <w:name w:val="标题 1 Char"/>
    <w:link w:val="724"/>
    <w:uiPriority w:val="0"/>
    <w:qFormat/>
    <w:rPr>
      <w:rFonts w:ascii="楷体_GB2312" w:hAnsi="楷体_GB2312" w:eastAsia="黑体"/>
      <w:sz w:val="44"/>
      <w:szCs w:val="28"/>
    </w:rPr>
  </w:style>
  <w:style w:type="paragraph" w:styleId="726" w:customStyle="1">
    <w:name w:val="三级标题"/>
    <w:uiPriority w:val="0"/>
    <w:qFormat/>
    <w:pPr>
      <w:numPr>
        <w:ilvl w:val="2"/>
        <w:numId w:val="1"/>
      </w:numPr>
      <w:widowControl w:val="off"/>
      <w:outlineLvl w:val="2"/>
    </w:pPr>
    <w:rPr>
      <w:rFonts w:ascii="仿宋_GB2312" w:hAnsi="仿宋" w:eastAsia="仿宋_GB2312" w:cs="Times New Roman"/>
      <w:b/>
      <w:sz w:val="28"/>
      <w:szCs w:val="28"/>
      <w:lang w:val="en-US" w:eastAsia="zh-CN" w:bidi="ar-SA"/>
    </w:rPr>
  </w:style>
  <w:style w:type="paragraph" w:styleId="727" w:customStyle="1">
    <w:name w:val="Default"/>
    <w:next w:val="716"/>
    <w:uiPriority w:val="0"/>
    <w:qFormat/>
    <w:pPr>
      <w:widowControl w:val="off"/>
    </w:pPr>
    <w:rPr>
      <w:rFonts w:ascii="宋体" w:hAnsi="Times New Roman" w:eastAsia="宋体" w:cs="宋体"/>
      <w:color w:val="000000"/>
      <w:sz w:val="24"/>
      <w:szCs w:val="24"/>
      <w:lang w:val="en-US" w:eastAsia="zh-CN" w:bidi="ar-SA"/>
    </w:rPr>
  </w:style>
  <w:style w:type="character" w:styleId="728" w:customStyle="1">
    <w:name w:val="font21"/>
    <w:basedOn w:val="718"/>
    <w:uiPriority w:val="0"/>
    <w:qFormat/>
    <w:rPr>
      <w:rFonts w:hint="eastAsia" w:ascii="宋体" w:hAnsi="宋体" w:eastAsia="宋体" w:cs="宋体"/>
      <w:b/>
      <w:bCs/>
      <w:color w:val="000000"/>
      <w:sz w:val="20"/>
      <w:szCs w:val="20"/>
      <w:u w:val="none"/>
    </w:rPr>
  </w:style>
  <w:style w:type="paragraph" w:styleId="729" w:customStyle="1">
    <w:name w:val="页眉1"/>
    <w:basedOn w:val="716"/>
    <w:uiPriority w:val="0"/>
    <w:qFormat/>
    <w:pPr>
      <w:jc w:val="center"/>
      <w:tabs>
        <w:tab w:val="center" w:pos="4153" w:leader="none"/>
        <w:tab w:val="right" w:pos="8306" w:leader="none"/>
      </w:tabs>
      <w:pBdr>
        <w:bottom w:val="single" w:color="000000" w:sz="6" w:space="1"/>
      </w:pBdr>
    </w:pPr>
    <w:rPr>
      <w:sz w:val="18"/>
      <w:szCs w:val="18"/>
    </w:rPr>
  </w:style>
  <w:style w:type="paragraph" w:styleId="730" w:customStyle="1">
    <w:name w:val="页脚1"/>
    <w:basedOn w:val="716"/>
    <w:uiPriority w:val="0"/>
    <w:qFormat/>
    <w:pPr>
      <w:jc w:val="left"/>
      <w:tabs>
        <w:tab w:val="center" w:pos="4153" w:leader="none"/>
        <w:tab w:val="right" w:pos="8306" w:leader="none"/>
      </w:tabs>
    </w:pPr>
    <w:rPr>
      <w:sz w:val="18"/>
      <w:szCs w:val="18"/>
    </w:rPr>
  </w:style>
  <w:style w:type="character" w:styleId="731" w:customStyle="1">
    <w:name w:val="页码1"/>
    <w:uiPriority w:val="0"/>
    <w:qFormat/>
  </w:style>
  <w:style w:type="numbering" w:styleId="117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李想</cp:lastModifiedBy>
  <cp:revision>1</cp:revision>
  <dcterms:created xsi:type="dcterms:W3CDTF">2026-07-07T03:11:00Z</dcterms:created>
  <dcterms:modified xsi:type="dcterms:W3CDTF">2026-07-09T01:49:47Z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eyJoZGlkIjoiNjQxYTE4MDQ0OTM5YzE4ZWIwNTE2NzIwMGI5MTIzYTEiLCJ1c2VySWQiOiIxODE0MjIyNzY2In0=</vt:lpwstr>
  </property>
  <property fmtid="{D5CDD505-2E9C-101B-9397-08002B2CF9AE}" pid="4" name="ICV">
    <vt:lpwstr>470C1283AF7542668BA1F387FE174E31_12</vt:lpwstr>
  </property>
</Properties>
</file>